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C1467" w:rsidRDefault="007C1467" w:rsidP="007C1467">
      <w:pPr>
        <w:widowControl w:val="0"/>
        <w:autoSpaceDE w:val="0"/>
        <w:autoSpaceDN w:val="0"/>
        <w:adjustRightInd w:val="0"/>
        <w:spacing w:after="0" w:line="240" w:lineRule="atLeast"/>
        <w:rPr>
          <w:rFonts w:ascii="Tms Rmn" w:hAnsi="Tms Rmn"/>
          <w:kern w:val="0"/>
          <w:sz w:val="24"/>
          <w:szCs w:val="24"/>
        </w:rPr>
      </w:pPr>
    </w:p>
    <w:p w:rsidR="007C1467" w:rsidRDefault="007C1467" w:rsidP="007C1467">
      <w:pPr>
        <w:widowControl w:val="0"/>
        <w:tabs>
          <w:tab w:val="left" w:pos="4536"/>
          <w:tab w:val="left" w:pos="9072"/>
        </w:tabs>
        <w:autoSpaceDE w:val="0"/>
        <w:autoSpaceDN w:val="0"/>
        <w:adjustRightInd w:val="0"/>
        <w:spacing w:after="0" w:line="240" w:lineRule="atLeast"/>
        <w:jc w:val="right"/>
        <w:rPr>
          <w:rFonts w:ascii="Tms Rmn" w:hAnsi="Tms Rmn" w:cs="Tms Rmn"/>
          <w:b/>
          <w:bCs/>
          <w:color w:val="000000"/>
          <w:kern w:val="0"/>
          <w:sz w:val="24"/>
          <w:szCs w:val="24"/>
        </w:rPr>
      </w:pPr>
      <w:r>
        <w:rPr>
          <w:rFonts w:ascii="Tms Rmn" w:hAnsi="Tms Rmn" w:cs="Tms Rmn"/>
          <w:b/>
          <w:bCs/>
          <w:color w:val="000000"/>
          <w:kern w:val="0"/>
          <w:sz w:val="24"/>
          <w:szCs w:val="24"/>
        </w:rPr>
        <w:t xml:space="preserve">26 </w:t>
      </w:r>
      <w:proofErr w:type="spellStart"/>
      <w:r>
        <w:rPr>
          <w:rFonts w:ascii="Tms Rmn" w:hAnsi="Tms Rmn" w:cs="Tms Rmn"/>
          <w:b/>
          <w:bCs/>
          <w:color w:val="000000"/>
          <w:kern w:val="0"/>
          <w:sz w:val="24"/>
          <w:szCs w:val="24"/>
        </w:rPr>
        <w:t>Cdo</w:t>
      </w:r>
      <w:proofErr w:type="spellEnd"/>
      <w:r>
        <w:rPr>
          <w:rFonts w:ascii="Tms Rmn" w:hAnsi="Tms Rmn" w:cs="Tms Rmn"/>
          <w:b/>
          <w:bCs/>
          <w:color w:val="000000"/>
          <w:kern w:val="0"/>
          <w:sz w:val="24"/>
          <w:szCs w:val="24"/>
        </w:rPr>
        <w:t xml:space="preserve"> 854/2022-209</w:t>
      </w:r>
    </w:p>
    <w:p w:rsidR="007C1467" w:rsidRDefault="007C1467" w:rsidP="007C1467">
      <w:pPr>
        <w:widowControl w:val="0"/>
        <w:tabs>
          <w:tab w:val="left" w:pos="9072"/>
        </w:tabs>
        <w:autoSpaceDE w:val="0"/>
        <w:autoSpaceDN w:val="0"/>
        <w:adjustRightInd w:val="0"/>
        <w:spacing w:after="0" w:line="240" w:lineRule="atLeast"/>
        <w:jc w:val="both"/>
        <w:rPr>
          <w:rFonts w:ascii="Tms Rmn" w:hAnsi="Tms Rmn" w:cs="Tms Rmn"/>
          <w:b/>
          <w:bCs/>
          <w:color w:val="000000"/>
          <w:kern w:val="0"/>
          <w:sz w:val="24"/>
          <w:szCs w:val="24"/>
        </w:rPr>
      </w:pPr>
    </w:p>
    <w:p w:rsidR="007C1467" w:rsidRDefault="007C1467" w:rsidP="007C1467">
      <w:pPr>
        <w:widowControl w:val="0"/>
        <w:tabs>
          <w:tab w:val="left" w:pos="9072"/>
        </w:tabs>
        <w:autoSpaceDE w:val="0"/>
        <w:autoSpaceDN w:val="0"/>
        <w:adjustRightInd w:val="0"/>
        <w:spacing w:after="0" w:line="240" w:lineRule="atLeast"/>
        <w:jc w:val="both"/>
        <w:rPr>
          <w:rFonts w:ascii="Tms Rmn" w:hAnsi="Tms Rmn" w:cs="Tms Rmn"/>
          <w:b/>
          <w:bCs/>
          <w:color w:val="000000"/>
          <w:kern w:val="0"/>
          <w:sz w:val="24"/>
          <w:szCs w:val="24"/>
        </w:rPr>
      </w:pPr>
    </w:p>
    <w:p w:rsidR="007C1467" w:rsidRDefault="007C1467" w:rsidP="007C1467">
      <w:pPr>
        <w:widowControl w:val="0"/>
        <w:autoSpaceDE w:val="0"/>
        <w:autoSpaceDN w:val="0"/>
        <w:adjustRightInd w:val="0"/>
        <w:spacing w:before="120" w:after="0" w:line="240" w:lineRule="atLeast"/>
        <w:jc w:val="center"/>
        <w:rPr>
          <w:rFonts w:ascii="Tms Rmn" w:hAnsi="Tms Rmn" w:cs="Tms Rmn"/>
          <w:b/>
          <w:bCs/>
          <w:color w:val="000000"/>
          <w:kern w:val="0"/>
          <w:sz w:val="32"/>
          <w:szCs w:val="32"/>
        </w:rPr>
      </w:pPr>
      <w:r>
        <w:rPr>
          <w:rFonts w:ascii="Tms Rmn" w:hAnsi="Tms Rmn" w:cs="Tms Rmn"/>
          <w:b/>
          <w:bCs/>
          <w:color w:val="000000"/>
          <w:kern w:val="0"/>
          <w:sz w:val="32"/>
          <w:szCs w:val="32"/>
        </w:rPr>
        <w:t>USNESENÍ</w:t>
      </w:r>
    </w:p>
    <w:p w:rsidR="007C1467" w:rsidRDefault="007C1467" w:rsidP="007C1467">
      <w:pPr>
        <w:widowControl w:val="0"/>
        <w:autoSpaceDE w:val="0"/>
        <w:autoSpaceDN w:val="0"/>
        <w:adjustRightInd w:val="0"/>
        <w:spacing w:after="0" w:line="480" w:lineRule="atLeast"/>
        <w:rPr>
          <w:rFonts w:ascii="Tms Rmn" w:hAnsi="Tms Rmn" w:cs="Tms Rmn"/>
          <w:b/>
          <w:bCs/>
          <w:color w:val="000000"/>
          <w:kern w:val="0"/>
          <w:sz w:val="32"/>
          <w:szCs w:val="32"/>
        </w:rPr>
      </w:pPr>
    </w:p>
    <w:p w:rsidR="007C1467" w:rsidRDefault="007C1467" w:rsidP="007C1467">
      <w:pPr>
        <w:widowControl w:val="0"/>
        <w:autoSpaceDE w:val="0"/>
        <w:autoSpaceDN w:val="0"/>
        <w:adjustRightInd w:val="0"/>
        <w:spacing w:after="0" w:line="240" w:lineRule="atLeast"/>
        <w:rPr>
          <w:rFonts w:ascii="Tms Rmn" w:hAnsi="Tms Rmn" w:cs="Tms Rmn"/>
          <w:b/>
          <w:bCs/>
          <w:color w:val="000000"/>
          <w:kern w:val="0"/>
          <w:sz w:val="32"/>
          <w:szCs w:val="32"/>
        </w:rPr>
      </w:pPr>
    </w:p>
    <w:p w:rsidR="007C1467" w:rsidRDefault="007C1467" w:rsidP="007C1467">
      <w:pPr>
        <w:widowControl w:val="0"/>
        <w:tabs>
          <w:tab w:val="left" w:pos="6096"/>
        </w:tabs>
        <w:autoSpaceDE w:val="0"/>
        <w:autoSpaceDN w:val="0"/>
        <w:adjustRightInd w:val="0"/>
        <w:spacing w:before="120" w:after="0" w:line="240" w:lineRule="atLeast"/>
        <w:ind w:firstLine="851"/>
        <w:jc w:val="both"/>
        <w:rPr>
          <w:rFonts w:ascii="Tms Rmn" w:hAnsi="Tms Rmn" w:cs="Tms Rmn"/>
          <w:color w:val="000000"/>
          <w:kern w:val="0"/>
          <w:sz w:val="24"/>
          <w:szCs w:val="24"/>
        </w:rPr>
      </w:pPr>
      <w:r>
        <w:rPr>
          <w:rFonts w:ascii="Tms Rmn" w:hAnsi="Tms Rmn" w:cs="Tms Rmn"/>
          <w:color w:val="000000"/>
          <w:kern w:val="0"/>
          <w:sz w:val="24"/>
          <w:szCs w:val="24"/>
        </w:rPr>
        <w:t xml:space="preserve">Nejvyšší soud České republiky rozhodl v senátě složeném z předsedkyně JUDr. Jitky </w:t>
      </w:r>
      <w:proofErr w:type="spellStart"/>
      <w:r>
        <w:rPr>
          <w:rFonts w:ascii="Tms Rmn" w:hAnsi="Tms Rmn" w:cs="Tms Rmn"/>
          <w:color w:val="000000"/>
          <w:kern w:val="0"/>
          <w:sz w:val="24"/>
          <w:szCs w:val="24"/>
        </w:rPr>
        <w:t>Dýškové</w:t>
      </w:r>
      <w:proofErr w:type="spellEnd"/>
      <w:r>
        <w:rPr>
          <w:rFonts w:ascii="Tms Rmn" w:hAnsi="Tms Rmn" w:cs="Tms Rmn"/>
          <w:color w:val="000000"/>
          <w:kern w:val="0"/>
          <w:sz w:val="24"/>
          <w:szCs w:val="24"/>
        </w:rPr>
        <w:t xml:space="preserve"> a soudců JUDr. Pavlíny Brzobohaté a JUDr. Miroslava </w:t>
      </w:r>
      <w:proofErr w:type="spellStart"/>
      <w:r>
        <w:rPr>
          <w:rFonts w:ascii="Tms Rmn" w:hAnsi="Tms Rmn" w:cs="Tms Rmn"/>
          <w:color w:val="000000"/>
          <w:kern w:val="0"/>
          <w:sz w:val="24"/>
          <w:szCs w:val="24"/>
        </w:rPr>
        <w:t>Feráka</w:t>
      </w:r>
      <w:proofErr w:type="spellEnd"/>
      <w:r>
        <w:rPr>
          <w:rFonts w:ascii="Tms Rmn" w:hAnsi="Tms Rmn" w:cs="Tms Rmn"/>
          <w:color w:val="000000"/>
          <w:kern w:val="0"/>
          <w:sz w:val="24"/>
          <w:szCs w:val="24"/>
        </w:rPr>
        <w:t xml:space="preserve"> ve věci navrhovatele </w:t>
      </w:r>
      <w:r>
        <w:rPr>
          <w:rFonts w:ascii="Tms Rmn" w:hAnsi="Tms Rmn" w:cs="Tms Rmn"/>
          <w:b/>
          <w:bCs/>
          <w:color w:val="000000"/>
          <w:kern w:val="0"/>
          <w:sz w:val="24"/>
          <w:szCs w:val="24"/>
        </w:rPr>
        <w:t>A. Ch. S.</w:t>
      </w:r>
      <w:r>
        <w:rPr>
          <w:rFonts w:ascii="Tms Rmn" w:hAnsi="Tms Rmn" w:cs="Tms Rmn"/>
          <w:color w:val="000000"/>
          <w:kern w:val="0"/>
          <w:sz w:val="24"/>
          <w:szCs w:val="24"/>
        </w:rPr>
        <w:t xml:space="preserve">, narozeného XY, bytem XY, zastoupeného Mgr. Lukášem </w:t>
      </w:r>
      <w:proofErr w:type="spellStart"/>
      <w:r>
        <w:rPr>
          <w:rFonts w:ascii="Tms Rmn" w:hAnsi="Tms Rmn" w:cs="Tms Rmn"/>
          <w:color w:val="000000"/>
          <w:kern w:val="0"/>
          <w:sz w:val="24"/>
          <w:szCs w:val="24"/>
        </w:rPr>
        <w:t>Máchalem</w:t>
      </w:r>
      <w:proofErr w:type="spellEnd"/>
      <w:r>
        <w:rPr>
          <w:rFonts w:ascii="Tms Rmn" w:hAnsi="Tms Rmn" w:cs="Tms Rmn"/>
          <w:color w:val="000000"/>
          <w:kern w:val="0"/>
          <w:sz w:val="24"/>
          <w:szCs w:val="24"/>
        </w:rPr>
        <w:t xml:space="preserve">, advokátem se sídlem </w:t>
      </w:r>
      <w:proofErr w:type="gramStart"/>
      <w:r>
        <w:rPr>
          <w:rFonts w:ascii="Tms Rmn" w:hAnsi="Tms Rmn" w:cs="Tms Rmn"/>
          <w:color w:val="000000"/>
          <w:kern w:val="0"/>
          <w:sz w:val="24"/>
          <w:szCs w:val="24"/>
        </w:rPr>
        <w:t>v  Praze</w:t>
      </w:r>
      <w:proofErr w:type="gramEnd"/>
      <w:r>
        <w:rPr>
          <w:rFonts w:ascii="Tms Rmn" w:hAnsi="Tms Rmn" w:cs="Tms Rmn"/>
          <w:color w:val="000000"/>
          <w:kern w:val="0"/>
          <w:sz w:val="24"/>
          <w:szCs w:val="24"/>
        </w:rPr>
        <w:t xml:space="preserve">  5,   Plzeňská 1972/158, za účasti </w:t>
      </w:r>
      <w:r>
        <w:rPr>
          <w:rFonts w:ascii="Tms Rmn" w:hAnsi="Tms Rmn" w:cs="Tms Rmn"/>
          <w:b/>
          <w:bCs/>
          <w:color w:val="000000"/>
          <w:kern w:val="0"/>
          <w:sz w:val="24"/>
          <w:szCs w:val="24"/>
        </w:rPr>
        <w:t>Společenství vlastníků jednotek XY</w:t>
      </w:r>
      <w:r>
        <w:rPr>
          <w:rFonts w:ascii="Tms Rmn" w:hAnsi="Tms Rmn" w:cs="Tms Rmn"/>
          <w:color w:val="000000"/>
          <w:kern w:val="0"/>
          <w:sz w:val="24"/>
          <w:szCs w:val="24"/>
        </w:rPr>
        <w:t>,</w:t>
      </w:r>
      <w:r>
        <w:rPr>
          <w:rFonts w:ascii="Tms Rmn" w:hAnsi="Tms Rmn" w:cs="Tms Rmn"/>
          <w:b/>
          <w:bCs/>
          <w:color w:val="000000"/>
          <w:kern w:val="0"/>
          <w:sz w:val="24"/>
          <w:szCs w:val="24"/>
        </w:rPr>
        <w:t xml:space="preserve"> </w:t>
      </w:r>
      <w:r>
        <w:rPr>
          <w:rFonts w:ascii="Tms Rmn" w:hAnsi="Tms Rmn" w:cs="Tms Rmn"/>
          <w:color w:val="000000"/>
          <w:kern w:val="0"/>
          <w:sz w:val="24"/>
          <w:szCs w:val="24"/>
        </w:rPr>
        <w:t>se</w:t>
      </w:r>
      <w:r>
        <w:rPr>
          <w:rFonts w:ascii="Tms Rmn" w:hAnsi="Tms Rmn" w:cs="Tms Rmn"/>
          <w:b/>
          <w:bCs/>
          <w:color w:val="000000"/>
          <w:kern w:val="0"/>
          <w:sz w:val="24"/>
          <w:szCs w:val="24"/>
        </w:rPr>
        <w:t xml:space="preserve"> </w:t>
      </w:r>
      <w:r>
        <w:rPr>
          <w:rFonts w:ascii="Tms Rmn" w:hAnsi="Tms Rmn" w:cs="Tms Rmn"/>
          <w:color w:val="000000"/>
          <w:kern w:val="0"/>
          <w:sz w:val="24"/>
          <w:szCs w:val="24"/>
        </w:rPr>
        <w:t xml:space="preserve">sídlem XY, IČO XY, zastoupeného Mgr.   Michaelou   Vilhelmovou, advokátkou se sídlem </w:t>
      </w:r>
      <w:proofErr w:type="gramStart"/>
      <w:r>
        <w:rPr>
          <w:rFonts w:ascii="Tms Rmn" w:hAnsi="Tms Rmn" w:cs="Tms Rmn"/>
          <w:color w:val="000000"/>
          <w:kern w:val="0"/>
          <w:sz w:val="24"/>
          <w:szCs w:val="24"/>
        </w:rPr>
        <w:t>v  Praze</w:t>
      </w:r>
      <w:proofErr w:type="gramEnd"/>
      <w:r>
        <w:rPr>
          <w:rFonts w:ascii="Tms Rmn" w:hAnsi="Tms Rmn" w:cs="Tms Rmn"/>
          <w:color w:val="000000"/>
          <w:kern w:val="0"/>
          <w:sz w:val="24"/>
          <w:szCs w:val="24"/>
        </w:rPr>
        <w:t xml:space="preserve">  1, Na  Můstku  383/1, o vyslovení neplatnosti rozhodnutí shromáždění vlastníků, vedené u Městského soudu v Praze pod </w:t>
      </w:r>
      <w:proofErr w:type="spellStart"/>
      <w:r>
        <w:rPr>
          <w:rFonts w:ascii="Tms Rmn" w:hAnsi="Tms Rmn" w:cs="Tms Rmn"/>
          <w:color w:val="000000"/>
          <w:kern w:val="0"/>
          <w:sz w:val="24"/>
          <w:szCs w:val="24"/>
        </w:rPr>
        <w:t>sp</w:t>
      </w:r>
      <w:proofErr w:type="spellEnd"/>
      <w:r>
        <w:rPr>
          <w:rFonts w:ascii="Tms Rmn" w:hAnsi="Tms Rmn" w:cs="Tms Rmn"/>
          <w:color w:val="000000"/>
          <w:kern w:val="0"/>
          <w:sz w:val="24"/>
          <w:szCs w:val="24"/>
        </w:rPr>
        <w:t xml:space="preserve">. zn. 80 Cm 8/2018, o dovolání účastníka proti usnesení Vrchního soudu v Praze ze dne 13. 10. 2021, č. j. 6 </w:t>
      </w:r>
      <w:proofErr w:type="spellStart"/>
      <w:r>
        <w:rPr>
          <w:rFonts w:ascii="Tms Rmn" w:hAnsi="Tms Rmn" w:cs="Tms Rmn"/>
          <w:color w:val="000000"/>
          <w:kern w:val="0"/>
          <w:sz w:val="24"/>
          <w:szCs w:val="24"/>
        </w:rPr>
        <w:t>Cmo</w:t>
      </w:r>
      <w:proofErr w:type="spellEnd"/>
      <w:r>
        <w:rPr>
          <w:rFonts w:ascii="Tms Rmn" w:hAnsi="Tms Rmn" w:cs="Tms Rmn"/>
          <w:color w:val="000000"/>
          <w:kern w:val="0"/>
          <w:sz w:val="24"/>
          <w:szCs w:val="24"/>
        </w:rPr>
        <w:t xml:space="preserve"> 86/2020-167, takto:</w:t>
      </w:r>
    </w:p>
    <w:p w:rsidR="007C1467" w:rsidRDefault="007C1467" w:rsidP="007C1467">
      <w:pPr>
        <w:widowControl w:val="0"/>
        <w:autoSpaceDE w:val="0"/>
        <w:autoSpaceDN w:val="0"/>
        <w:adjustRightInd w:val="0"/>
        <w:spacing w:before="120" w:after="0" w:line="240" w:lineRule="atLeast"/>
        <w:ind w:firstLine="851"/>
        <w:jc w:val="both"/>
        <w:rPr>
          <w:rFonts w:ascii="Tms Rmn" w:hAnsi="Tms Rmn" w:cs="Tms Rmn"/>
          <w:color w:val="000000"/>
          <w:kern w:val="0"/>
          <w:sz w:val="24"/>
          <w:szCs w:val="24"/>
        </w:rPr>
      </w:pPr>
    </w:p>
    <w:p w:rsidR="007C1467" w:rsidRDefault="007C1467" w:rsidP="007C1467">
      <w:pPr>
        <w:widowControl w:val="0"/>
        <w:autoSpaceDE w:val="0"/>
        <w:autoSpaceDN w:val="0"/>
        <w:adjustRightInd w:val="0"/>
        <w:spacing w:after="0" w:line="360" w:lineRule="atLeast"/>
        <w:ind w:left="1376" w:hanging="720"/>
        <w:jc w:val="both"/>
        <w:rPr>
          <w:rFonts w:ascii="Tms Rmn" w:hAnsi="Tms Rmn" w:cs="Tms Rmn"/>
          <w:color w:val="000000"/>
          <w:kern w:val="0"/>
          <w:sz w:val="24"/>
          <w:szCs w:val="24"/>
        </w:rPr>
      </w:pPr>
      <w:r>
        <w:rPr>
          <w:rFonts w:ascii="Tms Rmn" w:hAnsi="Tms Rmn" w:cs="Tms Rmn"/>
          <w:color w:val="000000"/>
          <w:kern w:val="0"/>
          <w:sz w:val="24"/>
          <w:szCs w:val="24"/>
        </w:rPr>
        <w:t>I.</w:t>
      </w:r>
      <w:r>
        <w:rPr>
          <w:rFonts w:ascii="Tms Rmn" w:hAnsi="Tms Rmn" w:cs="Tms Rmn"/>
          <w:color w:val="000000"/>
          <w:kern w:val="0"/>
          <w:sz w:val="24"/>
          <w:szCs w:val="24"/>
        </w:rPr>
        <w:tab/>
        <w:t xml:space="preserve">Dovolání </w:t>
      </w:r>
      <w:r>
        <w:rPr>
          <w:rFonts w:ascii="Tms Rmn" w:hAnsi="Tms Rmn" w:cs="Tms Rmn"/>
          <w:b/>
          <w:bCs/>
          <w:color w:val="000000"/>
          <w:kern w:val="0"/>
          <w:sz w:val="24"/>
          <w:szCs w:val="24"/>
        </w:rPr>
        <w:t>se zamítá</w:t>
      </w:r>
      <w:r>
        <w:rPr>
          <w:rFonts w:ascii="Tms Rmn" w:hAnsi="Tms Rmn" w:cs="Tms Rmn"/>
          <w:color w:val="000000"/>
          <w:kern w:val="0"/>
          <w:sz w:val="24"/>
          <w:szCs w:val="24"/>
        </w:rPr>
        <w:t>.</w:t>
      </w:r>
    </w:p>
    <w:p w:rsidR="007C1467" w:rsidRDefault="007C1467" w:rsidP="007C1467">
      <w:pPr>
        <w:widowControl w:val="0"/>
        <w:autoSpaceDE w:val="0"/>
        <w:autoSpaceDN w:val="0"/>
        <w:adjustRightInd w:val="0"/>
        <w:spacing w:after="0" w:line="360" w:lineRule="atLeast"/>
        <w:ind w:firstLine="658"/>
        <w:jc w:val="both"/>
        <w:rPr>
          <w:rFonts w:ascii="Tms Rmn" w:hAnsi="Tms Rmn" w:cs="Tms Rmn"/>
          <w:color w:val="000000"/>
          <w:kern w:val="0"/>
          <w:sz w:val="24"/>
          <w:szCs w:val="24"/>
        </w:rPr>
      </w:pPr>
      <w:r>
        <w:rPr>
          <w:rFonts w:ascii="Tms Rmn" w:hAnsi="Tms Rmn" w:cs="Tms Rmn"/>
          <w:color w:val="000000"/>
          <w:kern w:val="0"/>
          <w:sz w:val="24"/>
          <w:szCs w:val="24"/>
        </w:rPr>
        <w:t>II.</w:t>
      </w:r>
      <w:r>
        <w:rPr>
          <w:rFonts w:ascii="Tms Rmn" w:hAnsi="Tms Rmn" w:cs="Tms Rmn"/>
          <w:color w:val="000000"/>
          <w:kern w:val="0"/>
          <w:sz w:val="24"/>
          <w:szCs w:val="24"/>
        </w:rPr>
        <w:tab/>
        <w:t xml:space="preserve">Účastník </w:t>
      </w:r>
      <w:r>
        <w:rPr>
          <w:rFonts w:ascii="Tms Rmn" w:hAnsi="Tms Rmn" w:cs="Tms Rmn"/>
          <w:b/>
          <w:bCs/>
          <w:color w:val="000000"/>
          <w:kern w:val="0"/>
          <w:sz w:val="24"/>
          <w:szCs w:val="24"/>
        </w:rPr>
        <w:t>je povinen</w:t>
      </w:r>
      <w:r>
        <w:rPr>
          <w:rFonts w:ascii="Tms Rmn" w:hAnsi="Tms Rmn" w:cs="Tms Rmn"/>
          <w:color w:val="000000"/>
          <w:kern w:val="0"/>
          <w:sz w:val="24"/>
          <w:szCs w:val="24"/>
        </w:rPr>
        <w:t xml:space="preserve"> zaplatit navrhovateli na náhradě nákladů dovolacího řízení 4 114 Kč k rukám Mgr. Lukáše Máchala, advokáta se sídlem v Praze 5, Plzeňská 1972/158, do tří dnů od právní moci tohoto usnesení.</w:t>
      </w:r>
    </w:p>
    <w:p w:rsidR="007C1467" w:rsidRDefault="007C1467" w:rsidP="007C1467">
      <w:pPr>
        <w:widowControl w:val="0"/>
        <w:autoSpaceDE w:val="0"/>
        <w:autoSpaceDN w:val="0"/>
        <w:adjustRightInd w:val="0"/>
        <w:spacing w:after="0" w:line="360" w:lineRule="atLeast"/>
        <w:ind w:left="1376"/>
        <w:jc w:val="both"/>
        <w:rPr>
          <w:rFonts w:ascii="Tms Rmn" w:hAnsi="Tms Rmn" w:cs="Tms Rmn"/>
          <w:color w:val="000000"/>
          <w:kern w:val="0"/>
          <w:sz w:val="24"/>
          <w:szCs w:val="24"/>
        </w:rPr>
      </w:pPr>
    </w:p>
    <w:p w:rsidR="007C1467" w:rsidRDefault="007C1467" w:rsidP="007C1467">
      <w:pPr>
        <w:widowControl w:val="0"/>
        <w:autoSpaceDE w:val="0"/>
        <w:autoSpaceDN w:val="0"/>
        <w:adjustRightInd w:val="0"/>
        <w:spacing w:before="120" w:after="0" w:line="240" w:lineRule="atLeast"/>
        <w:jc w:val="center"/>
        <w:rPr>
          <w:rFonts w:ascii="Tms Rmn" w:hAnsi="Tms Rmn" w:cs="Tms Rmn"/>
          <w:color w:val="000000"/>
          <w:kern w:val="0"/>
          <w:sz w:val="24"/>
          <w:szCs w:val="24"/>
        </w:rPr>
      </w:pPr>
      <w:r>
        <w:rPr>
          <w:rFonts w:ascii="Tms Rmn" w:hAnsi="Tms Rmn" w:cs="Tms Rmn"/>
          <w:color w:val="000000"/>
          <w:kern w:val="0"/>
          <w:sz w:val="24"/>
          <w:szCs w:val="24"/>
        </w:rPr>
        <w:t>Odůvodnění:</w:t>
      </w:r>
    </w:p>
    <w:p w:rsidR="007C1467" w:rsidRDefault="007C1467" w:rsidP="007C1467">
      <w:pPr>
        <w:widowControl w:val="0"/>
        <w:autoSpaceDE w:val="0"/>
        <w:autoSpaceDN w:val="0"/>
        <w:adjustRightInd w:val="0"/>
        <w:spacing w:before="120" w:after="0" w:line="240" w:lineRule="atLeast"/>
        <w:ind w:left="3120" w:firstLine="624"/>
        <w:rPr>
          <w:rFonts w:ascii="Tms Rmn" w:hAnsi="Tms Rmn" w:cs="Tms Rmn"/>
          <w:color w:val="000000"/>
          <w:kern w:val="0"/>
          <w:sz w:val="24"/>
          <w:szCs w:val="24"/>
        </w:rPr>
      </w:pPr>
    </w:p>
    <w:p w:rsidR="007C1467" w:rsidRDefault="007C1467" w:rsidP="007C1467">
      <w:pPr>
        <w:widowControl w:val="0"/>
        <w:autoSpaceDE w:val="0"/>
        <w:autoSpaceDN w:val="0"/>
        <w:adjustRightInd w:val="0"/>
        <w:spacing w:before="120" w:after="0" w:line="240" w:lineRule="atLeast"/>
        <w:ind w:firstLine="708"/>
        <w:jc w:val="both"/>
        <w:rPr>
          <w:rFonts w:ascii="Tms Rmn" w:hAnsi="Tms Rmn" w:cs="Tms Rmn"/>
          <w:color w:val="000000"/>
          <w:kern w:val="0"/>
          <w:sz w:val="24"/>
          <w:szCs w:val="24"/>
        </w:rPr>
      </w:pPr>
      <w:r>
        <w:rPr>
          <w:rFonts w:ascii="Tms Rmn" w:hAnsi="Tms Rmn" w:cs="Tms Rmn"/>
          <w:color w:val="000000"/>
          <w:kern w:val="0"/>
          <w:sz w:val="24"/>
          <w:szCs w:val="24"/>
        </w:rPr>
        <w:t xml:space="preserve">Návrhem došlým soudu dne 17. 8. 2017 se navrhovatel jako přehlasovaný vlastník jednotky domáhal vyslovení (určení) neplatnosti rozhodnutí shromáždění účastníka ze dne 18. 5. 2017, kterým bylo schváleno nové znění stanov. Svůj nárok odůvodnil jednak procedurálními důvody spočívajícími v tom, že došlo k opakované změně znění původně včas zveřejněného návrhu nových stanov. Další jednotlivé důvody neplatnosti spatřoval ve vztahu ke třem výslovně vymezeným ustanovením stanov, konkrétně čl. VI., odstavce 8., 18., 19. Měl za to, že odstavec 8 nepřípustně omezuje možnost vlastníka nechat se na shromáždění zastoupit jinou osobou na základě plné moci, jestliže připouští zastoupení pouze vlastníkem jiné jednotky v domě nebo osobou s trvalým pobytem v tomto domě. Za rozporný s § 253 odst. 3 ve spojení s § 1221 zákona č. 89/ 2012 Sb., občanský zákoník, ve znění účinném do 30. 6. 2020 (dále jen „o. z.“), považoval odstavec 18, který umožňoval rozhodnout záležitost, jež nebyla zařazena na pořad jednání shromáždění v pozvánce, se souhlasem jen tříčtvrtinové většiny přítomných členů společenství. Ohledně odstavce 19, který podmiňoval užívání jednotek ve vlastnictví členů společenství k opakovanému krátkodobému pronájmu (kratšímu 3 měsíců) či k poskytování ubytovacích služeb souhlasem všech členů, uvedl, že společenství vlastníků je ve smyslu § 1194 odst. 1 o. z. právnickou osobou způsobilou vykonávat práva a zavazovat se pouze ve věcech spojených se správou, provozem a opravami společných částí domu a pozemku, proto do jeho zákonné působnosti nespadá možnost omezovat způsob užívání jednotek ve vlastnictví členů společenství, </w:t>
      </w:r>
      <w:r>
        <w:rPr>
          <w:rFonts w:ascii="Tms Rmn" w:hAnsi="Tms Rmn" w:cs="Tms Rmn"/>
          <w:color w:val="000000"/>
          <w:kern w:val="0"/>
          <w:sz w:val="24"/>
          <w:szCs w:val="24"/>
        </w:rPr>
        <w:lastRenderedPageBreak/>
        <w:t>neboť jde o oprávnění náležející výlučně vlastníkovi jednotky podle § 1175 odst. 1 a § 1012 o. z. Omezení vlastníka jednotky ve způsobu užívání jeho majetku tak představuje nepřípustný zásah do výkonu jeho vlastnického práva ve smyslu článku 11 Listiny základních práv a svobod.</w:t>
      </w:r>
    </w:p>
    <w:p w:rsidR="007C1467" w:rsidRDefault="007C1467" w:rsidP="007C1467">
      <w:pPr>
        <w:widowControl w:val="0"/>
        <w:autoSpaceDE w:val="0"/>
        <w:autoSpaceDN w:val="0"/>
        <w:adjustRightInd w:val="0"/>
        <w:spacing w:before="120" w:after="0" w:line="240" w:lineRule="atLeast"/>
        <w:ind w:firstLine="708"/>
        <w:jc w:val="both"/>
        <w:rPr>
          <w:rFonts w:ascii="Tms Rmn" w:hAnsi="Tms Rmn" w:cs="Tms Rmn"/>
          <w:color w:val="000000"/>
          <w:kern w:val="0"/>
          <w:sz w:val="24"/>
          <w:szCs w:val="24"/>
        </w:rPr>
      </w:pPr>
      <w:r>
        <w:rPr>
          <w:rFonts w:ascii="Tms Rmn" w:hAnsi="Tms Rmn" w:cs="Tms Rmn"/>
          <w:color w:val="000000"/>
          <w:kern w:val="0"/>
          <w:sz w:val="24"/>
          <w:szCs w:val="24"/>
        </w:rPr>
        <w:t xml:space="preserve">Městský soud v Praze (soud prvního stupně) usnesením ze dne 21. 11. 2019, č. j. 80 Cm 8/2018-111, návrh na vyslovení neplatnosti rozhodnutí shromáždění účastníka zamítl (výrok I.) a rozhodl o nákladech řízení (výrok II.). </w:t>
      </w:r>
    </w:p>
    <w:p w:rsidR="007C1467" w:rsidRDefault="007C1467" w:rsidP="007C1467">
      <w:pPr>
        <w:widowControl w:val="0"/>
        <w:autoSpaceDE w:val="0"/>
        <w:autoSpaceDN w:val="0"/>
        <w:adjustRightInd w:val="0"/>
        <w:spacing w:before="120" w:after="0" w:line="240" w:lineRule="atLeast"/>
        <w:ind w:firstLine="708"/>
        <w:jc w:val="both"/>
        <w:rPr>
          <w:rFonts w:ascii="Tms Rmn" w:hAnsi="Tms Rmn" w:cs="Tms Rmn"/>
          <w:color w:val="000000"/>
          <w:kern w:val="0"/>
          <w:sz w:val="24"/>
          <w:szCs w:val="24"/>
        </w:rPr>
      </w:pPr>
      <w:r>
        <w:rPr>
          <w:rFonts w:ascii="Tms Rmn" w:hAnsi="Tms Rmn" w:cs="Tms Rmn"/>
          <w:color w:val="000000"/>
          <w:kern w:val="0"/>
          <w:sz w:val="24"/>
          <w:szCs w:val="24"/>
        </w:rPr>
        <w:t xml:space="preserve">Soud prvního stupně dospěl k závěru, že rozhodnutí shromáždění účastníka je platné. Uvedl, že shromáždění bylo svoláno řádně v souladu s § 1207 odst. 1 a 2 o. z., a neshledal věcný rozpor přijatého rozhodnutí se zákonem. Ve vztahu k čl. VI. odstavci 8 dovodil, že pro zastoupení na jednání shromáždění je třeba aplikovat ustanovení § 441 odst. 1 o. z., přičemž dikce přijatého znění stanov tomuto ustanovení neodporuje. </w:t>
      </w:r>
      <w:proofErr w:type="gramStart"/>
      <w:r>
        <w:rPr>
          <w:rFonts w:ascii="Tms Rmn" w:hAnsi="Tms Rmn" w:cs="Tms Rmn"/>
          <w:color w:val="000000"/>
          <w:kern w:val="0"/>
          <w:sz w:val="24"/>
          <w:szCs w:val="24"/>
        </w:rPr>
        <w:t>Ohledně  čl.</w:t>
      </w:r>
      <w:proofErr w:type="gramEnd"/>
      <w:r>
        <w:rPr>
          <w:rFonts w:ascii="Tms Rmn" w:hAnsi="Tms Rmn" w:cs="Tms Rmn"/>
          <w:color w:val="000000"/>
          <w:kern w:val="0"/>
          <w:sz w:val="24"/>
          <w:szCs w:val="24"/>
        </w:rPr>
        <w:t xml:space="preserve"> VI. odstavec 18 uzavřel, že s ohledem na speciální úpravu svolávání, jednání a rozhodování shromáždění společenství v §§ 1206 – 1208 se ustanovení § 253 odst. 3 o. z. nepoužije. K čl. VI. odstavec 19 konstatoval, že vykonává-li vlastník (navrhovatel) své vlastnické právo způsobem, který ostatní vlastníky omezuje ve výkonu jejich zcela totožných práv, není v rozporu s právními předpisy, pokud ostatní vlastníci prostřednictvím nejvyššího orgánu společenství omezili v souladu s ustanovením § 1208 písm. a) o. z. jeho vlastnické právo. Za „účelově zužující výklad“ označil výklad ustanovení § 1194 odst. 1 o. z., respektive § 1189 odst. 1 o. z. tak, že rozhodnout popsaným způsobem o omezení vlastnického práva není v kompetenci shromáždění. Poukázal i na to, že při poskytování krátkodobých pronájmů a ubytovacích služeb dochází k porušení stavebních a daňových předpisů.</w:t>
      </w:r>
    </w:p>
    <w:p w:rsidR="007C1467" w:rsidRDefault="007C1467" w:rsidP="007C1467">
      <w:pPr>
        <w:widowControl w:val="0"/>
        <w:autoSpaceDE w:val="0"/>
        <w:autoSpaceDN w:val="0"/>
        <w:adjustRightInd w:val="0"/>
        <w:spacing w:before="120" w:after="0" w:line="240" w:lineRule="atLeast"/>
        <w:jc w:val="both"/>
        <w:rPr>
          <w:rFonts w:ascii="Tms Rmn" w:hAnsi="Tms Rmn" w:cs="Tms Rmn"/>
          <w:color w:val="000000"/>
          <w:kern w:val="0"/>
          <w:sz w:val="24"/>
          <w:szCs w:val="24"/>
        </w:rPr>
      </w:pPr>
      <w:r>
        <w:rPr>
          <w:rFonts w:ascii="Tms Rmn" w:hAnsi="Tms Rmn" w:cs="Tms Rmn"/>
          <w:color w:val="000000"/>
          <w:kern w:val="0"/>
          <w:sz w:val="24"/>
          <w:szCs w:val="24"/>
        </w:rPr>
        <w:tab/>
        <w:t xml:space="preserve">K odvolání navrhovatele Vrchní soud v Praze (odvolací soud) usnesením ze dne 13. 10. 2021, č. j. 6 </w:t>
      </w:r>
      <w:proofErr w:type="spellStart"/>
      <w:r>
        <w:rPr>
          <w:rFonts w:ascii="Tms Rmn" w:hAnsi="Tms Rmn" w:cs="Tms Rmn"/>
          <w:color w:val="000000"/>
          <w:kern w:val="0"/>
          <w:sz w:val="24"/>
          <w:szCs w:val="24"/>
        </w:rPr>
        <w:t>Cmo</w:t>
      </w:r>
      <w:proofErr w:type="spellEnd"/>
      <w:r>
        <w:rPr>
          <w:rFonts w:ascii="Tms Rmn" w:hAnsi="Tms Rmn" w:cs="Tms Rmn"/>
          <w:color w:val="000000"/>
          <w:kern w:val="0"/>
          <w:sz w:val="24"/>
          <w:szCs w:val="24"/>
        </w:rPr>
        <w:t xml:space="preserve"> 86/2020-167, rozhodl tak, že usnesení soudu prvního stupně se v bodě I. výroku, pokud jím bylo rozhodnuto o zamítnutí návrhu na vyslovení neplatnosti stanov, přijatých shromážděním účastníka dne 18. 5. 2017, a to jejich článku VI. odstavce 8, 18 a 19 (jejichž znění citoval) mění tak, že nejde o rozhodnutí shromáždění účastníka. Ve zbývajícím rozsahu bodu I. výroku rozhodnutí soudu prvního stupně potvrdil (výrok I.); zároveň rozhodl o nákladech řízení před soudy obou stupňů (výrok II.). </w:t>
      </w:r>
    </w:p>
    <w:p w:rsidR="007C1467" w:rsidRDefault="007C1467" w:rsidP="007C1467">
      <w:pPr>
        <w:widowControl w:val="0"/>
        <w:autoSpaceDE w:val="0"/>
        <w:autoSpaceDN w:val="0"/>
        <w:adjustRightInd w:val="0"/>
        <w:spacing w:before="120" w:after="0" w:line="240" w:lineRule="atLeast"/>
        <w:ind w:firstLine="708"/>
        <w:jc w:val="both"/>
        <w:rPr>
          <w:rFonts w:ascii="Tms Rmn" w:hAnsi="Tms Rmn" w:cs="Tms Rmn"/>
          <w:color w:val="000000"/>
          <w:kern w:val="0"/>
          <w:sz w:val="24"/>
          <w:szCs w:val="24"/>
        </w:rPr>
      </w:pPr>
      <w:r>
        <w:rPr>
          <w:rFonts w:ascii="Tms Rmn" w:hAnsi="Tms Rmn" w:cs="Tms Rmn"/>
          <w:color w:val="000000"/>
          <w:kern w:val="0"/>
          <w:sz w:val="24"/>
          <w:szCs w:val="24"/>
        </w:rPr>
        <w:t>Co se týká čl. VI. odstavce 8, dospěl odvolací soud k názoru, že omezení zastoupení zakotvené ve stanovách není možné, neboť odporuje kogentnímu ustanovení občanského zákoníku ve vztahu k zastoupení. Shromáždění nemá oprávnění rozhodovat o tom, koho smí vlastník ustanovit svým zástupcem na jednání shromáždění na základě plné moci. Neztotožnil se závěrem soudu prvního stupně ani ohledně správnosti znění stanov v čl. VI. odstavce 18, s odůvodněním, že bylo schváleno v podobě, odporující znění ustanovení § 253 odst. 3 ve spojení s § 1221 věta prvá o. z. Shromáždění účastníka není oprávněno rozhodovat o tom, jak velké kvorum postačuje k souhlasu o rozhodování o záležitosti, jež nebyla zařazena na pořad jednání shromáždění v pozvánce, je-li tato otázka upravena zákonem. K čl. VI. odstavec 19 uvedl, že shromáždění společenství vlastníků nemá právo omezovat svým rozhodnutím (stanovami) výkon vlastnického práva vlastníka bytu, který je omezitelný ve smyslu § 1012 o. z. zásadně jen vlastnickým právem vlastníka jiného (žaloba by vycházela z vlastnictví, nikoli z členství ve společenství vlastníků jednotek). Závěrem shrnul, že usnesení shromáždění účastníka, jestliže jím byly schváleny navrhovatelem výslovně napadené části stanov, bylo přijato v záležitostech, o kterých nemá shromáždění působnost rozhodnout. Proto aplikoval § 245 ve spojení s § 1221 o. z. a ve smyslu § 90 odst. 1 zákona č. 292/2013 Sb., o zvláštních řízení soudních, ve znění pozdějších předpisů (dále jen „zákon č. 292/2013 Sb.“), rozhodl, že o rozhodnutí účastníka v této části nejde, neboť se na ně hledí, jako by nebylo přijato.</w:t>
      </w:r>
    </w:p>
    <w:p w:rsidR="007C1467" w:rsidRDefault="007C1467" w:rsidP="007C1467">
      <w:pPr>
        <w:widowControl w:val="0"/>
        <w:autoSpaceDE w:val="0"/>
        <w:autoSpaceDN w:val="0"/>
        <w:adjustRightInd w:val="0"/>
        <w:spacing w:before="120" w:after="0" w:line="240" w:lineRule="atLeast"/>
        <w:jc w:val="both"/>
        <w:rPr>
          <w:rFonts w:ascii="Tms Rmn" w:hAnsi="Tms Rmn" w:cs="Tms Rmn"/>
          <w:color w:val="000000"/>
          <w:kern w:val="0"/>
          <w:sz w:val="24"/>
          <w:szCs w:val="24"/>
        </w:rPr>
      </w:pPr>
      <w:r>
        <w:rPr>
          <w:rFonts w:ascii="Tms Rmn" w:hAnsi="Tms Rmn" w:cs="Tms Rmn"/>
          <w:color w:val="000000"/>
          <w:kern w:val="0"/>
          <w:sz w:val="24"/>
          <w:szCs w:val="24"/>
        </w:rPr>
        <w:lastRenderedPageBreak/>
        <w:tab/>
        <w:t>Proti usnesení odvolacího soudu podal účastník dovolání, jehož přípustnost opřel o ustanovení § 237 zákona č. 99/1963 Sb., občanský soudní řád, ve znění pozdějších předpisů – dále jen „o. s. ř.“.</w:t>
      </w:r>
      <w:r>
        <w:rPr>
          <w:rFonts w:ascii="Tms Rmn" w:hAnsi="Tms Rmn" w:cs="Tms Rmn"/>
          <w:i/>
          <w:iCs/>
          <w:color w:val="000000"/>
          <w:kern w:val="0"/>
          <w:sz w:val="24"/>
          <w:szCs w:val="24"/>
        </w:rPr>
        <w:t xml:space="preserve"> </w:t>
      </w:r>
      <w:r>
        <w:rPr>
          <w:rFonts w:ascii="Tms Rmn" w:hAnsi="Tms Rmn" w:cs="Tms Rmn"/>
          <w:color w:val="000000"/>
          <w:kern w:val="0"/>
          <w:sz w:val="24"/>
          <w:szCs w:val="24"/>
        </w:rPr>
        <w:t>Dovolání podle svého obsahu (§ 41 odst. 2 o. s. ř.) směřuje pouze do měnícího výroku I. usnesení odvolacího soudu v části, která se týká čl. VI. odstavce 19 stanov účastníka, tedy možnosti upravit ve stanovách společenství vlastníků omezení vlastníka bytu (jednotky) v jeho užívání k poskytování ubytovacích služeb nebo k opakovanému krátkodobému pronájmu, přičemž tuto otázku považoval za dosud neřešenou. Nesouhlasil s aplikací § 245 o. z. a § 90 odst. 1 zákona č. 292/2013 Sb. a odvolacímu soudu vytýkal, že se argumentačně nevypořádal s tím, kam může společenství vlastníků zajít ve svých pravomocech ohledně užívání bytu (jednotky), s nímž je nedílně spojeno i právo užívání společných prostor v domě, jejichž regulace do působnosti společenství náleží. Měl za to, že se odvolací soud odchýlil od judikatury dovolacího soudu, jestliže se nezabýval otázkou, zda byly splněny předpoklady normované § 1209 o. z. pro přezkoumání platnosti rozhodnutí shromáždění účastníka, zejména zda bylo splněno věcné hledisko, tedy existence důležitého důvodu, a jestliže se vyhnul posouzení věci podle § 260 o. z. Navrhl, aby rozhodnutí odvolacího soudu bylo zrušeno a věc mu vrácena k dalšímu řízení.</w:t>
      </w:r>
    </w:p>
    <w:p w:rsidR="007C1467" w:rsidRDefault="007C1467" w:rsidP="007C1467">
      <w:pPr>
        <w:widowControl w:val="0"/>
        <w:autoSpaceDE w:val="0"/>
        <w:autoSpaceDN w:val="0"/>
        <w:adjustRightInd w:val="0"/>
        <w:spacing w:before="120" w:after="0" w:line="240" w:lineRule="atLeast"/>
        <w:jc w:val="both"/>
        <w:rPr>
          <w:rFonts w:ascii="Tms Rmn" w:hAnsi="Tms Rmn" w:cs="Tms Rmn"/>
          <w:color w:val="000000"/>
          <w:kern w:val="0"/>
          <w:sz w:val="24"/>
          <w:szCs w:val="24"/>
        </w:rPr>
      </w:pPr>
      <w:r>
        <w:rPr>
          <w:rFonts w:ascii="Tms Rmn" w:hAnsi="Tms Rmn" w:cs="Tms Rmn"/>
          <w:color w:val="000000"/>
          <w:kern w:val="0"/>
          <w:sz w:val="24"/>
          <w:szCs w:val="24"/>
        </w:rPr>
        <w:tab/>
        <w:t>Navrhovatel se ve svém vyjádření ztotožnil se závěry odvolacího soudu s odůvodněním, že do vlastnického práva vlastníka jednotky lze zasáhnout jen na základě a v mezích zákona, který však takový zásah shromáždění vlastníků neumožňuje. Společenství vlastníků má ze své povahy působnost a svéprávnost omezenou na předmět činnosti, do něhož patří správa domu a pozemku, nikoli správa bytů (jednotek). Proto odvolací soud správně aplikoval § 245 o. z., jehož použití pro poměry společenství vlastníků je judikaturou aprobováno. Navrhl, aby dovolací soud dovolání odmítl, případně s ohledem na věcnou správnost napadeného rozhodnutí zamítl.</w:t>
      </w:r>
    </w:p>
    <w:p w:rsidR="007C1467" w:rsidRDefault="007C1467" w:rsidP="007C1467">
      <w:pPr>
        <w:widowControl w:val="0"/>
        <w:autoSpaceDE w:val="0"/>
        <w:autoSpaceDN w:val="0"/>
        <w:adjustRightInd w:val="0"/>
        <w:spacing w:before="120" w:after="0" w:line="240" w:lineRule="atLeast"/>
        <w:jc w:val="both"/>
        <w:rPr>
          <w:rFonts w:ascii="Tms Rmn" w:hAnsi="Tms Rmn" w:cs="Tms Rmn"/>
          <w:color w:val="000000"/>
          <w:kern w:val="0"/>
          <w:sz w:val="24"/>
          <w:szCs w:val="24"/>
        </w:rPr>
      </w:pPr>
      <w:r>
        <w:rPr>
          <w:rFonts w:ascii="Tms Rmn" w:hAnsi="Tms Rmn" w:cs="Tms Rmn"/>
          <w:color w:val="000000"/>
          <w:kern w:val="0"/>
          <w:sz w:val="24"/>
          <w:szCs w:val="24"/>
        </w:rPr>
        <w:t xml:space="preserve"> </w:t>
      </w:r>
      <w:r>
        <w:rPr>
          <w:rFonts w:ascii="Tms Rmn" w:hAnsi="Tms Rmn" w:cs="Tms Rmn"/>
          <w:color w:val="000000"/>
          <w:kern w:val="0"/>
          <w:sz w:val="24"/>
          <w:szCs w:val="24"/>
        </w:rPr>
        <w:tab/>
        <w:t xml:space="preserve">Nejvyšší soud České republiky shledal, že dovolání bylo podáno včas, osobou k tomu oprávněnou – účastníkem řízení (§ 240 odst. 1 o. s. ř.), za splnění podmínky advokátního zastoupení dovolatele (§ 241 odst. 1 a 4 o. s. ř.) a je přípustné podle § 237 o. s. ř., neboť otázka, zda může společenství vlastníků ve svých stanovách omezit vlastníka jednotky při užívání bytu k opakovanému krátkodobému pronájmu či poskytování ubytování, nebyla dovolacím soudem řešena. </w:t>
      </w:r>
    </w:p>
    <w:p w:rsidR="007C1467" w:rsidRDefault="007C1467" w:rsidP="007C1467">
      <w:pPr>
        <w:widowControl w:val="0"/>
        <w:autoSpaceDE w:val="0"/>
        <w:autoSpaceDN w:val="0"/>
        <w:adjustRightInd w:val="0"/>
        <w:spacing w:before="120" w:after="0" w:line="240" w:lineRule="atLeast"/>
        <w:jc w:val="both"/>
        <w:rPr>
          <w:rFonts w:ascii="Tms Rmn" w:hAnsi="Tms Rmn" w:cs="Tms Rmn"/>
          <w:color w:val="000000"/>
          <w:kern w:val="0"/>
          <w:sz w:val="24"/>
          <w:szCs w:val="24"/>
        </w:rPr>
      </w:pPr>
      <w:r>
        <w:rPr>
          <w:rFonts w:ascii="Tms Rmn" w:hAnsi="Tms Rmn" w:cs="Tms Rmn"/>
          <w:color w:val="000000"/>
          <w:kern w:val="0"/>
          <w:sz w:val="24"/>
          <w:szCs w:val="24"/>
        </w:rPr>
        <w:tab/>
        <w:t>Podle § 242 odst. 1 a 3 o. s. ř. dovolací soud přezkoumá rozhodnutí odvolacího soudu v rozsahu, ve kterém byl jeho výrok napaden. Rozhodnutí odvolacího soudu lze přezkoumat jen z důvodu vymezeného v dovolání. Je-li dovolání přípustné, dovolací soud přihlédne též k vadám uvedeným v § 229 odst. 1, § 229 odst. 2 písm. a/ a b/ a § 229 odst. 3, jakož i k jiným vadám řízení, které mohly mít za následek nesprávné rozhodnutí ve věci. Existence uvedených vad tvrzena nebyla a tyto vady nevyplynuly ani z obsahu spisu.</w:t>
      </w:r>
    </w:p>
    <w:p w:rsidR="007C1467" w:rsidRDefault="007C1467" w:rsidP="007C1467">
      <w:pPr>
        <w:widowControl w:val="0"/>
        <w:autoSpaceDE w:val="0"/>
        <w:autoSpaceDN w:val="0"/>
        <w:adjustRightInd w:val="0"/>
        <w:spacing w:before="120" w:after="0" w:line="240" w:lineRule="atLeast"/>
        <w:ind w:firstLine="708"/>
        <w:jc w:val="both"/>
        <w:rPr>
          <w:rFonts w:ascii="Tms Rmn" w:hAnsi="Tms Rmn" w:cs="Tms Rmn"/>
          <w:color w:val="000000"/>
          <w:kern w:val="0"/>
          <w:sz w:val="24"/>
          <w:szCs w:val="24"/>
        </w:rPr>
      </w:pPr>
      <w:r>
        <w:rPr>
          <w:rFonts w:ascii="Tms Rmn" w:hAnsi="Tms Rmn" w:cs="Tms Rmn"/>
          <w:color w:val="000000"/>
          <w:kern w:val="0"/>
          <w:sz w:val="24"/>
          <w:szCs w:val="24"/>
        </w:rPr>
        <w:t>Předně je třeba zdůraznit, že s ohledem na to, že napadené rozhodnutí bylo přijato na shromáždění účastníka dne 18. 5. 2017, je třeba věc posoudit podle zákona č. 89/2012 Sb., občanský zákoník, ve znění účinném do 30. 6. 2020 (dále opět jen „o. z.“) – viz čl. II přechodná ustanovení zákona č. 163/2020 Sb., kterým se mění zákon č. 89/2012 Sb., občanský zákoník, ve znění pozdějších předpisů, a další související zákony.</w:t>
      </w:r>
    </w:p>
    <w:p w:rsidR="007C1467" w:rsidRDefault="007C1467" w:rsidP="007C1467">
      <w:pPr>
        <w:widowControl w:val="0"/>
        <w:autoSpaceDE w:val="0"/>
        <w:autoSpaceDN w:val="0"/>
        <w:adjustRightInd w:val="0"/>
        <w:spacing w:before="120" w:after="0" w:line="240" w:lineRule="atLeast"/>
        <w:ind w:firstLine="708"/>
        <w:jc w:val="both"/>
        <w:rPr>
          <w:rFonts w:ascii="Tms Rmn" w:hAnsi="Tms Rmn" w:cs="Tms Rmn"/>
          <w:color w:val="000000"/>
          <w:kern w:val="0"/>
          <w:sz w:val="24"/>
          <w:szCs w:val="24"/>
        </w:rPr>
      </w:pPr>
      <w:r>
        <w:rPr>
          <w:rFonts w:ascii="Tms Rmn" w:hAnsi="Tms Rmn" w:cs="Tms Rmn"/>
          <w:color w:val="000000"/>
          <w:kern w:val="0"/>
          <w:sz w:val="24"/>
          <w:szCs w:val="24"/>
        </w:rPr>
        <w:t>Podle § 1175 odst. 1 o. z. má vlastník jednotky právo svobodně spravovat, výlučně užívat a uvnitř stavebně upravovat svůj byt jakož i užívat společné části, nesmí však ztížit jinému vlastníku jednotky výkon stejných práv ani ohrozit, změnit nebo poškodit společné části.</w:t>
      </w:r>
    </w:p>
    <w:p w:rsidR="007C1467" w:rsidRDefault="007C1467" w:rsidP="007C1467">
      <w:pPr>
        <w:widowControl w:val="0"/>
        <w:autoSpaceDE w:val="0"/>
        <w:autoSpaceDN w:val="0"/>
        <w:adjustRightInd w:val="0"/>
        <w:spacing w:before="120" w:after="0" w:line="240" w:lineRule="atLeast"/>
        <w:ind w:firstLine="708"/>
        <w:jc w:val="both"/>
        <w:rPr>
          <w:rFonts w:ascii="Tms Rmn" w:hAnsi="Tms Rmn" w:cs="Tms Rmn"/>
          <w:color w:val="000000"/>
          <w:kern w:val="0"/>
          <w:sz w:val="24"/>
          <w:szCs w:val="24"/>
        </w:rPr>
      </w:pPr>
      <w:r>
        <w:rPr>
          <w:rFonts w:ascii="Tms Rmn" w:hAnsi="Tms Rmn" w:cs="Tms Rmn"/>
          <w:color w:val="000000"/>
          <w:kern w:val="0"/>
          <w:sz w:val="24"/>
          <w:szCs w:val="24"/>
        </w:rPr>
        <w:t xml:space="preserve">Podle § 1189 odst. 1 o. z. správa domu a pozemku zahrnuje vše, co nenáleží vlastníku jednotky a co je v zájmu všech spoluvlastníků nutné nebo účelné pro řádnou péči o dům a pozemek </w:t>
      </w:r>
      <w:r>
        <w:rPr>
          <w:rFonts w:ascii="Tms Rmn" w:hAnsi="Tms Rmn" w:cs="Tms Rmn"/>
          <w:color w:val="000000"/>
          <w:kern w:val="0"/>
          <w:sz w:val="24"/>
          <w:szCs w:val="24"/>
        </w:rPr>
        <w:lastRenderedPageBreak/>
        <w:t xml:space="preserve">jako funkční celek a zachování nebo zlepšení společných částí. Správa domu zahrnuje i činnosti spojené s přípravou a prováděním změn společných částí domu nástavbou, přístavbou, stavební úpravou nebo změnou v užívání, jakož i se zřízením, udržováním nebo zlepšením zařízení v domě nebo na pozemku sloužících všem spoluvlastníkům domu. </w:t>
      </w:r>
    </w:p>
    <w:p w:rsidR="007C1467" w:rsidRDefault="007C1467" w:rsidP="007C1467">
      <w:pPr>
        <w:widowControl w:val="0"/>
        <w:autoSpaceDE w:val="0"/>
        <w:autoSpaceDN w:val="0"/>
        <w:adjustRightInd w:val="0"/>
        <w:spacing w:before="120" w:after="0" w:line="240" w:lineRule="atLeast"/>
        <w:ind w:firstLine="708"/>
        <w:jc w:val="both"/>
        <w:rPr>
          <w:rFonts w:ascii="Tms Rmn" w:hAnsi="Tms Rmn" w:cs="Tms Rmn"/>
          <w:color w:val="000000"/>
          <w:kern w:val="0"/>
          <w:sz w:val="24"/>
          <w:szCs w:val="24"/>
        </w:rPr>
      </w:pPr>
      <w:r>
        <w:rPr>
          <w:rFonts w:ascii="Tms Rmn" w:hAnsi="Tms Rmn" w:cs="Tms Rmn"/>
          <w:color w:val="000000"/>
          <w:kern w:val="0"/>
          <w:sz w:val="24"/>
          <w:szCs w:val="24"/>
        </w:rPr>
        <w:t>Podle § 1189 odst. 2 o. z. se má za to, že správa se vztahuje i na společné části, které slouží výlučně k užívání jen některému spoluvlastníku.</w:t>
      </w:r>
    </w:p>
    <w:p w:rsidR="007C1467" w:rsidRDefault="007C1467" w:rsidP="007C1467">
      <w:pPr>
        <w:widowControl w:val="0"/>
        <w:autoSpaceDE w:val="0"/>
        <w:autoSpaceDN w:val="0"/>
        <w:adjustRightInd w:val="0"/>
        <w:spacing w:before="120" w:after="0" w:line="240" w:lineRule="atLeast"/>
        <w:ind w:firstLine="708"/>
        <w:jc w:val="both"/>
        <w:rPr>
          <w:rFonts w:ascii="Tms Rmn" w:hAnsi="Tms Rmn" w:cs="Tms Rmn"/>
          <w:color w:val="000000"/>
          <w:kern w:val="0"/>
          <w:sz w:val="24"/>
          <w:szCs w:val="24"/>
        </w:rPr>
      </w:pPr>
      <w:r>
        <w:rPr>
          <w:rFonts w:ascii="Tms Rmn" w:hAnsi="Tms Rmn" w:cs="Tms Rmn"/>
          <w:color w:val="000000"/>
          <w:kern w:val="0"/>
          <w:sz w:val="24"/>
          <w:szCs w:val="24"/>
        </w:rPr>
        <w:t>Podle § 1190 o. z. osobou odpovědnou za správu domu a pozemku je společenství vlastníků. Nevzniklo-li společenství vlastníků, je osobou odpovědnou za správu domu správce.</w:t>
      </w:r>
    </w:p>
    <w:p w:rsidR="007C1467" w:rsidRDefault="007C1467" w:rsidP="007C1467">
      <w:pPr>
        <w:widowControl w:val="0"/>
        <w:autoSpaceDE w:val="0"/>
        <w:autoSpaceDN w:val="0"/>
        <w:adjustRightInd w:val="0"/>
        <w:spacing w:before="120" w:after="0" w:line="240" w:lineRule="atLeast"/>
        <w:ind w:firstLine="708"/>
        <w:jc w:val="both"/>
        <w:rPr>
          <w:rFonts w:ascii="Tms Rmn" w:hAnsi="Tms Rmn" w:cs="Tms Rmn"/>
          <w:color w:val="000000"/>
          <w:kern w:val="0"/>
          <w:sz w:val="24"/>
          <w:szCs w:val="24"/>
        </w:rPr>
      </w:pPr>
      <w:r>
        <w:rPr>
          <w:rFonts w:ascii="Tms Rmn" w:hAnsi="Tms Rmn" w:cs="Tms Rmn"/>
          <w:color w:val="000000"/>
          <w:kern w:val="0"/>
          <w:sz w:val="24"/>
          <w:szCs w:val="24"/>
        </w:rPr>
        <w:t>Podle § 1194 odst. 1 o. z. společenství vlastníků je právnická osoba založená za účelem zajišťování správy domu a pozemku; při naplňování svého účelu je způsobilé nabývat práva a zavazovat se k povinnostem. Společenství vlastníků nesmí podnikat ani se přímo či nepřímo podílet na podnikání nebo jiné činnosti podnikatelů nebo být jejich společníkem nebo členem.</w:t>
      </w:r>
    </w:p>
    <w:p w:rsidR="007C1467" w:rsidRDefault="007C1467" w:rsidP="007C1467">
      <w:pPr>
        <w:widowControl w:val="0"/>
        <w:autoSpaceDE w:val="0"/>
        <w:autoSpaceDN w:val="0"/>
        <w:adjustRightInd w:val="0"/>
        <w:spacing w:before="120" w:after="0" w:line="240" w:lineRule="atLeast"/>
        <w:ind w:firstLine="708"/>
        <w:jc w:val="both"/>
        <w:rPr>
          <w:rFonts w:ascii="Tms Rmn" w:hAnsi="Tms Rmn" w:cs="Tms Rmn"/>
          <w:color w:val="000000"/>
          <w:kern w:val="0"/>
          <w:sz w:val="24"/>
          <w:szCs w:val="24"/>
        </w:rPr>
      </w:pPr>
      <w:r>
        <w:rPr>
          <w:rFonts w:ascii="Tms Rmn" w:hAnsi="Tms Rmn" w:cs="Tms Rmn"/>
          <w:color w:val="000000"/>
          <w:kern w:val="0"/>
          <w:sz w:val="24"/>
          <w:szCs w:val="24"/>
        </w:rPr>
        <w:t xml:space="preserve">V případě právní úpravy vztahů bytového spoluvlastnictví podle části třetí, dílu 4, oddílu 5 o. z. se projevuje specifická povaha takto založeného vlastnického práva, která je dána dualistickou koncepcí spočívající ve výlučném vlastnictví (bytové) jednotky (nyní bytu jako součásti jednotky - srov. § 1159 o. z.) na straně jedné a v podílovém spoluvlastnictví společných částí domu a pozemku na straně druhé. Je zřejmé, že kombinace výlučného a podílového (spolu)vlastnictví vytváří zvláštní podmínky pro realizaci takto pojatého vlastnického práva, které se projevují ve zvýšené míře jak u práv, tak i povinností (srov. usnesení Ústavního soudu ze dne 19. 1. 2012, </w:t>
      </w:r>
      <w:proofErr w:type="spellStart"/>
      <w:r>
        <w:rPr>
          <w:rFonts w:ascii="Tms Rmn" w:hAnsi="Tms Rmn" w:cs="Tms Rmn"/>
          <w:color w:val="000000"/>
          <w:kern w:val="0"/>
          <w:sz w:val="24"/>
          <w:szCs w:val="24"/>
        </w:rPr>
        <w:t>sp</w:t>
      </w:r>
      <w:proofErr w:type="spellEnd"/>
      <w:r>
        <w:rPr>
          <w:rFonts w:ascii="Tms Rmn" w:hAnsi="Tms Rmn" w:cs="Tms Rmn"/>
          <w:color w:val="000000"/>
          <w:kern w:val="0"/>
          <w:sz w:val="24"/>
          <w:szCs w:val="24"/>
        </w:rPr>
        <w:t xml:space="preserve">. zn. II. ÚS 2973/09, a ze dne 15. 12. 2015, </w:t>
      </w:r>
      <w:proofErr w:type="spellStart"/>
      <w:r>
        <w:rPr>
          <w:rFonts w:ascii="Tms Rmn" w:hAnsi="Tms Rmn" w:cs="Tms Rmn"/>
          <w:color w:val="000000"/>
          <w:kern w:val="0"/>
          <w:sz w:val="24"/>
          <w:szCs w:val="24"/>
        </w:rPr>
        <w:t>sp</w:t>
      </w:r>
      <w:proofErr w:type="spellEnd"/>
      <w:r>
        <w:rPr>
          <w:rFonts w:ascii="Tms Rmn" w:hAnsi="Tms Rmn" w:cs="Tms Rmn"/>
          <w:color w:val="000000"/>
          <w:kern w:val="0"/>
          <w:sz w:val="24"/>
          <w:szCs w:val="24"/>
        </w:rPr>
        <w:t xml:space="preserve">. zn. I. ÚS 752/15). </w:t>
      </w:r>
    </w:p>
    <w:p w:rsidR="007C1467" w:rsidRDefault="007C1467" w:rsidP="007C1467">
      <w:pPr>
        <w:widowControl w:val="0"/>
        <w:autoSpaceDE w:val="0"/>
        <w:autoSpaceDN w:val="0"/>
        <w:adjustRightInd w:val="0"/>
        <w:spacing w:before="120" w:after="0" w:line="240" w:lineRule="atLeast"/>
        <w:ind w:firstLine="708"/>
        <w:jc w:val="both"/>
        <w:rPr>
          <w:rFonts w:ascii="Tms Rmn" w:hAnsi="Tms Rmn" w:cs="Tms Rmn"/>
          <w:color w:val="000000"/>
          <w:kern w:val="0"/>
          <w:sz w:val="24"/>
          <w:szCs w:val="24"/>
        </w:rPr>
      </w:pPr>
      <w:r>
        <w:rPr>
          <w:rFonts w:ascii="Tms Rmn" w:hAnsi="Tms Rmn" w:cs="Tms Rmn"/>
          <w:color w:val="000000"/>
          <w:kern w:val="0"/>
          <w:sz w:val="24"/>
          <w:szCs w:val="24"/>
        </w:rPr>
        <w:t xml:space="preserve">Důsledky takto pojatého bytového spoluvlastnictví řeší právní úprava občanského zákoníku mimo jiné prostřednictvím zavedením tzv. společenství vlastníků (dále též jen „společenství“), jehož hlavním účelem je zajišťování správy domu a pozemku. K naplnění tohoto účelu jej zmíněná právní úprava předně prohlašuje za právnickou osobu, čímž mu přiznává způsobilost mít v mezích právního řádu práva a povinnosti, tedy právní osobnost (§ 1194 odst. 1 věta před středníkem ve spojení s § 20 odst. 1 a § 15 odst. 1 o. z.). Vedle toho mu zároveň poskytuje způsobilost nabývat pro sebe vlastním právním jednáním práva a zavazovat se k povinnostem (právně jednat), tj. svéprávnost (§ 1194 odst. 1 věta za středníkem ve spojení s § 15 odst. 2 o. z.), byť vázanou pouze na naplňování účelu jeho činnosti. Z toho, že společenství vlastníků má právní osobnost i svéprávnost, současně vyplývá, že v rámci zajišťování správy domu a pozemku, za niž odpovídá podle ustanovení § 1190 o. z., nejedná z pouhého pověření vlastníků jednotek, nýbrž vykonává svá práva a povinnosti jako by samo bylo vlastníkem – srov. rozsudek Nejvyššího soudu ze dne 3. 4. 2018, </w:t>
      </w:r>
      <w:proofErr w:type="spellStart"/>
      <w:r>
        <w:rPr>
          <w:rFonts w:ascii="Tms Rmn" w:hAnsi="Tms Rmn" w:cs="Tms Rmn"/>
          <w:color w:val="000000"/>
          <w:kern w:val="0"/>
          <w:sz w:val="24"/>
          <w:szCs w:val="24"/>
        </w:rPr>
        <w:t>sp</w:t>
      </w:r>
      <w:proofErr w:type="spellEnd"/>
      <w:r>
        <w:rPr>
          <w:rFonts w:ascii="Tms Rmn" w:hAnsi="Tms Rmn" w:cs="Tms Rmn"/>
          <w:color w:val="000000"/>
          <w:kern w:val="0"/>
          <w:sz w:val="24"/>
          <w:szCs w:val="24"/>
        </w:rPr>
        <w:t xml:space="preserve">. zn. 26 </w:t>
      </w:r>
      <w:proofErr w:type="spellStart"/>
      <w:r>
        <w:rPr>
          <w:rFonts w:ascii="Tms Rmn" w:hAnsi="Tms Rmn" w:cs="Tms Rmn"/>
          <w:color w:val="000000"/>
          <w:kern w:val="0"/>
          <w:sz w:val="24"/>
          <w:szCs w:val="24"/>
        </w:rPr>
        <w:t>Cdo</w:t>
      </w:r>
      <w:proofErr w:type="spellEnd"/>
      <w:r>
        <w:rPr>
          <w:rFonts w:ascii="Tms Rmn" w:hAnsi="Tms Rmn" w:cs="Tms Rmn"/>
          <w:color w:val="000000"/>
          <w:kern w:val="0"/>
          <w:sz w:val="24"/>
          <w:szCs w:val="24"/>
        </w:rPr>
        <w:t xml:space="preserve"> 3553/2017, proti němuž byla podána ústavní stížnost, kterou Ústavní soud odmítl usnesením ze dne 7. 8. 2018, </w:t>
      </w:r>
      <w:proofErr w:type="spellStart"/>
      <w:r>
        <w:rPr>
          <w:rFonts w:ascii="Tms Rmn" w:hAnsi="Tms Rmn" w:cs="Tms Rmn"/>
          <w:color w:val="000000"/>
          <w:kern w:val="0"/>
          <w:sz w:val="24"/>
          <w:szCs w:val="24"/>
        </w:rPr>
        <w:t>sp</w:t>
      </w:r>
      <w:proofErr w:type="spellEnd"/>
      <w:r>
        <w:rPr>
          <w:rFonts w:ascii="Tms Rmn" w:hAnsi="Tms Rmn" w:cs="Tms Rmn"/>
          <w:color w:val="000000"/>
          <w:kern w:val="0"/>
          <w:sz w:val="24"/>
          <w:szCs w:val="24"/>
        </w:rPr>
        <w:t xml:space="preserve">. zn. I. ÚS 2325/18. V poměrech právní úpravy účinné do 31. 12. 2013 dospěl k obsahově shodnému závěru Nejvyšší soud např. v usnesení ze dne 22. 8. 2016, </w:t>
      </w:r>
      <w:proofErr w:type="spellStart"/>
      <w:r>
        <w:rPr>
          <w:rFonts w:ascii="Tms Rmn" w:hAnsi="Tms Rmn" w:cs="Tms Rmn"/>
          <w:color w:val="000000"/>
          <w:kern w:val="0"/>
          <w:sz w:val="24"/>
          <w:szCs w:val="24"/>
        </w:rPr>
        <w:t>sp</w:t>
      </w:r>
      <w:proofErr w:type="spellEnd"/>
      <w:r>
        <w:rPr>
          <w:rFonts w:ascii="Tms Rmn" w:hAnsi="Tms Rmn" w:cs="Tms Rmn"/>
          <w:color w:val="000000"/>
          <w:kern w:val="0"/>
          <w:sz w:val="24"/>
          <w:szCs w:val="24"/>
        </w:rPr>
        <w:t xml:space="preserve">. zn. 26 </w:t>
      </w:r>
      <w:proofErr w:type="spellStart"/>
      <w:r>
        <w:rPr>
          <w:rFonts w:ascii="Tms Rmn" w:hAnsi="Tms Rmn" w:cs="Tms Rmn"/>
          <w:color w:val="000000"/>
          <w:kern w:val="0"/>
          <w:sz w:val="24"/>
          <w:szCs w:val="24"/>
        </w:rPr>
        <w:t>Cdo</w:t>
      </w:r>
      <w:proofErr w:type="spellEnd"/>
      <w:r>
        <w:rPr>
          <w:rFonts w:ascii="Tms Rmn" w:hAnsi="Tms Rmn" w:cs="Tms Rmn"/>
          <w:color w:val="000000"/>
          <w:kern w:val="0"/>
          <w:sz w:val="24"/>
          <w:szCs w:val="24"/>
        </w:rPr>
        <w:t xml:space="preserve"> 5610/2015. </w:t>
      </w:r>
    </w:p>
    <w:p w:rsidR="007C1467" w:rsidRDefault="007C1467" w:rsidP="007C1467">
      <w:pPr>
        <w:widowControl w:val="0"/>
        <w:autoSpaceDE w:val="0"/>
        <w:autoSpaceDN w:val="0"/>
        <w:adjustRightInd w:val="0"/>
        <w:spacing w:before="120" w:after="0" w:line="240" w:lineRule="atLeast"/>
        <w:ind w:firstLine="708"/>
        <w:jc w:val="both"/>
        <w:rPr>
          <w:rFonts w:ascii="Tms Rmn" w:hAnsi="Tms Rmn" w:cs="Tms Rmn"/>
          <w:color w:val="000000"/>
          <w:kern w:val="0"/>
          <w:sz w:val="24"/>
          <w:szCs w:val="24"/>
        </w:rPr>
      </w:pPr>
      <w:r>
        <w:rPr>
          <w:rFonts w:ascii="Tms Rmn" w:hAnsi="Tms Rmn" w:cs="Tms Rmn"/>
          <w:color w:val="000000"/>
          <w:kern w:val="0"/>
          <w:sz w:val="24"/>
          <w:szCs w:val="24"/>
        </w:rPr>
        <w:t>Legální definici správy domu a pozemku obsahuje ustanovení § 1189 odst. 1 o. z. Citované ustanovení vymezuje tuto správu jednak negativně jako vše, co nenáleží vlastníku jednotky, a jednak pozitivně jako vše, co je v zájmu všech spoluvlastníků nutné nebo účelné pro řádnou péči o dům a pozemek jako funkční celek a zachování nebo zlepšení společných částí; pozitivní vymezení současně doplňuje o výčet činností, které se rovněž považují za správu domu a pozemku. V ustanovení § 1189 odst. 2 o. z. je pak (nově) vyjádřena zásada, že správa domu a pozemku se vztahuje i na společné části, které slouží výlučně k užívání jen některému spoluvlastníku [k tomu viz též § 1166 odst. 1 písm. b) bod 2 o. z.].</w:t>
      </w:r>
    </w:p>
    <w:p w:rsidR="007C1467" w:rsidRDefault="007C1467" w:rsidP="007C1467">
      <w:pPr>
        <w:widowControl w:val="0"/>
        <w:autoSpaceDE w:val="0"/>
        <w:autoSpaceDN w:val="0"/>
        <w:adjustRightInd w:val="0"/>
        <w:spacing w:before="120" w:after="0" w:line="240" w:lineRule="atLeast"/>
        <w:ind w:firstLine="708"/>
        <w:jc w:val="both"/>
        <w:rPr>
          <w:rFonts w:ascii="Tms Rmn" w:hAnsi="Tms Rmn" w:cs="Tms Rmn"/>
          <w:color w:val="000000"/>
          <w:kern w:val="0"/>
          <w:sz w:val="24"/>
          <w:szCs w:val="24"/>
        </w:rPr>
      </w:pPr>
      <w:r>
        <w:rPr>
          <w:rFonts w:ascii="Tms Rmn" w:hAnsi="Tms Rmn" w:cs="Tms Rmn"/>
          <w:color w:val="000000"/>
          <w:kern w:val="0"/>
          <w:sz w:val="24"/>
          <w:szCs w:val="24"/>
        </w:rPr>
        <w:lastRenderedPageBreak/>
        <w:t xml:space="preserve">Z uvedeného výkladu § 1189 o. z. vycházela i judikatura dovolacího soudu, jestliže dovodila aktivní legitimaci společenství vlastníků ve sporech o splnění povinností týkajících se společných částí domu a pozemku (srov. již citovaný rozsudek Nejvyššího soudu ze dne 3. 4. 2018, </w:t>
      </w:r>
      <w:proofErr w:type="spellStart"/>
      <w:r>
        <w:rPr>
          <w:rFonts w:ascii="Tms Rmn" w:hAnsi="Tms Rmn" w:cs="Tms Rmn"/>
          <w:color w:val="000000"/>
          <w:kern w:val="0"/>
          <w:sz w:val="24"/>
          <w:szCs w:val="24"/>
        </w:rPr>
        <w:t>sp</w:t>
      </w:r>
      <w:proofErr w:type="spellEnd"/>
      <w:r>
        <w:rPr>
          <w:rFonts w:ascii="Tms Rmn" w:hAnsi="Tms Rmn" w:cs="Tms Rmn"/>
          <w:color w:val="000000"/>
          <w:kern w:val="0"/>
          <w:sz w:val="24"/>
          <w:szCs w:val="24"/>
        </w:rPr>
        <w:t xml:space="preserve">. zn. 26 </w:t>
      </w:r>
      <w:proofErr w:type="spellStart"/>
      <w:r>
        <w:rPr>
          <w:rFonts w:ascii="Tms Rmn" w:hAnsi="Tms Rmn" w:cs="Tms Rmn"/>
          <w:color w:val="000000"/>
          <w:kern w:val="0"/>
          <w:sz w:val="24"/>
          <w:szCs w:val="24"/>
        </w:rPr>
        <w:t>Cdo</w:t>
      </w:r>
      <w:proofErr w:type="spellEnd"/>
      <w:r>
        <w:rPr>
          <w:rFonts w:ascii="Tms Rmn" w:hAnsi="Tms Rmn" w:cs="Tms Rmn"/>
          <w:color w:val="000000"/>
          <w:kern w:val="0"/>
          <w:sz w:val="24"/>
          <w:szCs w:val="24"/>
        </w:rPr>
        <w:t xml:space="preserve"> 3553/2017, či jeho rozsudek ze dne 11. 9. 2019, </w:t>
      </w:r>
      <w:proofErr w:type="spellStart"/>
      <w:r>
        <w:rPr>
          <w:rFonts w:ascii="Tms Rmn" w:hAnsi="Tms Rmn" w:cs="Tms Rmn"/>
          <w:color w:val="000000"/>
          <w:kern w:val="0"/>
          <w:sz w:val="24"/>
          <w:szCs w:val="24"/>
        </w:rPr>
        <w:t>sp</w:t>
      </w:r>
      <w:proofErr w:type="spellEnd"/>
      <w:r>
        <w:rPr>
          <w:rFonts w:ascii="Tms Rmn" w:hAnsi="Tms Rmn" w:cs="Tms Rmn"/>
          <w:color w:val="000000"/>
          <w:kern w:val="0"/>
          <w:sz w:val="24"/>
          <w:szCs w:val="24"/>
        </w:rPr>
        <w:t xml:space="preserve">. zn. 26 </w:t>
      </w:r>
      <w:proofErr w:type="spellStart"/>
      <w:r>
        <w:rPr>
          <w:rFonts w:ascii="Tms Rmn" w:hAnsi="Tms Rmn" w:cs="Tms Rmn"/>
          <w:color w:val="000000"/>
          <w:kern w:val="0"/>
          <w:sz w:val="24"/>
          <w:szCs w:val="24"/>
        </w:rPr>
        <w:t>Cdo</w:t>
      </w:r>
      <w:proofErr w:type="spellEnd"/>
      <w:r>
        <w:rPr>
          <w:rFonts w:ascii="Tms Rmn" w:hAnsi="Tms Rmn" w:cs="Tms Rmn"/>
          <w:color w:val="000000"/>
          <w:kern w:val="0"/>
          <w:sz w:val="24"/>
          <w:szCs w:val="24"/>
        </w:rPr>
        <w:t xml:space="preserve"> 379/2019, uveřejněný pod č. 70/2020 ve Sbírce rozhodnutí a stanovisek).</w:t>
      </w:r>
    </w:p>
    <w:p w:rsidR="007C1467" w:rsidRDefault="007C1467" w:rsidP="007C1467">
      <w:pPr>
        <w:widowControl w:val="0"/>
        <w:autoSpaceDE w:val="0"/>
        <w:autoSpaceDN w:val="0"/>
        <w:adjustRightInd w:val="0"/>
        <w:spacing w:before="120" w:after="0" w:line="240" w:lineRule="atLeast"/>
        <w:ind w:firstLine="708"/>
        <w:jc w:val="both"/>
        <w:rPr>
          <w:rFonts w:ascii="Tms Rmn" w:hAnsi="Tms Rmn" w:cs="Tms Rmn"/>
          <w:color w:val="000000"/>
          <w:kern w:val="0"/>
          <w:sz w:val="24"/>
          <w:szCs w:val="24"/>
        </w:rPr>
      </w:pPr>
      <w:r>
        <w:rPr>
          <w:rFonts w:ascii="Tms Rmn" w:hAnsi="Tms Rmn" w:cs="Tms Rmn"/>
          <w:color w:val="000000"/>
          <w:kern w:val="0"/>
          <w:sz w:val="24"/>
          <w:szCs w:val="24"/>
        </w:rPr>
        <w:t xml:space="preserve">Nejvyšším orgánem společenství je jeho shromáždění (§ 1205 odst. 5 věta první o. z.), které tvoří všichni vlastníci jednotek (§1206 odst. 1 věta první o. z.). Působnost shromáždění je upravena v § 1208 o. z., přičemž primárně do ní patří změna stanov [§ 1208 písm. a) o. z.]. Stanovy společenství jakožto smlouva </w:t>
      </w:r>
      <w:proofErr w:type="spellStart"/>
      <w:r>
        <w:rPr>
          <w:rFonts w:ascii="Tms Rmn" w:hAnsi="Tms Rmn" w:cs="Tms Rmn"/>
          <w:color w:val="000000"/>
          <w:kern w:val="0"/>
          <w:sz w:val="24"/>
          <w:szCs w:val="24"/>
        </w:rPr>
        <w:t>sui</w:t>
      </w:r>
      <w:proofErr w:type="spellEnd"/>
      <w:r>
        <w:rPr>
          <w:rFonts w:ascii="Tms Rmn" w:hAnsi="Tms Rmn" w:cs="Tms Rmn"/>
          <w:color w:val="000000"/>
          <w:kern w:val="0"/>
          <w:sz w:val="24"/>
          <w:szCs w:val="24"/>
        </w:rPr>
        <w:t xml:space="preserve"> generis představují základní „dokument“, jímž se řídí jeho vnitřní poměry (srov. rozsudek Nejvyššího soudu ze dne 12. 2. 2015, </w:t>
      </w:r>
      <w:proofErr w:type="spellStart"/>
      <w:r>
        <w:rPr>
          <w:rFonts w:ascii="Tms Rmn" w:hAnsi="Tms Rmn" w:cs="Tms Rmn"/>
          <w:color w:val="000000"/>
          <w:kern w:val="0"/>
          <w:sz w:val="24"/>
          <w:szCs w:val="24"/>
        </w:rPr>
        <w:t>sp</w:t>
      </w:r>
      <w:proofErr w:type="spellEnd"/>
      <w:r>
        <w:rPr>
          <w:rFonts w:ascii="Tms Rmn" w:hAnsi="Tms Rmn" w:cs="Tms Rmn"/>
          <w:color w:val="000000"/>
          <w:kern w:val="0"/>
          <w:sz w:val="24"/>
          <w:szCs w:val="24"/>
        </w:rPr>
        <w:t xml:space="preserve">. zn. 29 </w:t>
      </w:r>
      <w:proofErr w:type="spellStart"/>
      <w:r>
        <w:rPr>
          <w:rFonts w:ascii="Tms Rmn" w:hAnsi="Tms Rmn" w:cs="Tms Rmn"/>
          <w:color w:val="000000"/>
          <w:kern w:val="0"/>
          <w:sz w:val="24"/>
          <w:szCs w:val="24"/>
        </w:rPr>
        <w:t>Cdo</w:t>
      </w:r>
      <w:proofErr w:type="spellEnd"/>
      <w:r>
        <w:rPr>
          <w:rFonts w:ascii="Tms Rmn" w:hAnsi="Tms Rmn" w:cs="Tms Rmn"/>
          <w:color w:val="000000"/>
          <w:kern w:val="0"/>
          <w:sz w:val="24"/>
          <w:szCs w:val="24"/>
        </w:rPr>
        <w:t xml:space="preserve"> 3024/2012).</w:t>
      </w:r>
    </w:p>
    <w:p w:rsidR="007C1467" w:rsidRDefault="007C1467" w:rsidP="007C1467">
      <w:pPr>
        <w:widowControl w:val="0"/>
        <w:autoSpaceDE w:val="0"/>
        <w:autoSpaceDN w:val="0"/>
        <w:adjustRightInd w:val="0"/>
        <w:spacing w:before="120" w:after="0" w:line="240" w:lineRule="atLeast"/>
        <w:ind w:firstLine="708"/>
        <w:jc w:val="both"/>
        <w:rPr>
          <w:rFonts w:ascii="Tms Rmn" w:hAnsi="Tms Rmn" w:cs="Tms Rmn"/>
          <w:color w:val="4F4F4F"/>
          <w:kern w:val="0"/>
          <w:sz w:val="24"/>
          <w:szCs w:val="24"/>
        </w:rPr>
      </w:pPr>
      <w:r>
        <w:rPr>
          <w:rFonts w:ascii="Tms Rmn" w:hAnsi="Tms Rmn" w:cs="Tms Rmn"/>
          <w:color w:val="000000"/>
          <w:kern w:val="0"/>
          <w:sz w:val="24"/>
          <w:szCs w:val="24"/>
        </w:rPr>
        <w:t xml:space="preserve">Obsah stanov vymezuje demonstrativně § 1200 odst. 2 o. z., který </w:t>
      </w:r>
      <w:r>
        <w:rPr>
          <w:rFonts w:ascii="Tms Rmn" w:hAnsi="Tms Rmn" w:cs="Tms Rmn"/>
          <w:color w:val="4F4F4F"/>
          <w:kern w:val="0"/>
          <w:sz w:val="24"/>
          <w:szCs w:val="24"/>
        </w:rPr>
        <w:t xml:space="preserve">stanoví jejich minimální obsah. Podle § 1200 odst. 2 písm. c) o. z. je sice povinnou náležitostí stanov úprava členských práv a povinností i způsob jejich uplatňování, tím se však </w:t>
      </w:r>
      <w:proofErr w:type="gramStart"/>
      <w:r>
        <w:rPr>
          <w:rFonts w:ascii="Tms Rmn" w:hAnsi="Tms Rmn" w:cs="Tms Rmn"/>
          <w:color w:val="4F4F4F"/>
          <w:kern w:val="0"/>
          <w:sz w:val="24"/>
          <w:szCs w:val="24"/>
        </w:rPr>
        <w:t>rozumí  práva</w:t>
      </w:r>
      <w:proofErr w:type="gramEnd"/>
      <w:r>
        <w:rPr>
          <w:rFonts w:ascii="Tms Rmn" w:hAnsi="Tms Rmn" w:cs="Tms Rmn"/>
          <w:color w:val="4F4F4F"/>
          <w:kern w:val="0"/>
          <w:sz w:val="24"/>
          <w:szCs w:val="24"/>
        </w:rPr>
        <w:t xml:space="preserve"> a povinnosti vyplývající z členství ve společenství vlastníků (např. právo účasti na shromáždění a právo na něm hlasovat, právo být volen do orgánů společenství či povinnost ručit za dluhy společenství). Není proto možné stanovami omezit práva vyplývající z vlastnictví jednotky.</w:t>
      </w:r>
    </w:p>
    <w:p w:rsidR="007C1467" w:rsidRDefault="007C1467" w:rsidP="007C1467">
      <w:pPr>
        <w:widowControl w:val="0"/>
        <w:autoSpaceDE w:val="0"/>
        <w:autoSpaceDN w:val="0"/>
        <w:adjustRightInd w:val="0"/>
        <w:spacing w:before="120" w:after="0" w:line="240" w:lineRule="atLeast"/>
        <w:ind w:firstLine="708"/>
        <w:jc w:val="both"/>
        <w:rPr>
          <w:rFonts w:ascii="Tms Rmn" w:hAnsi="Tms Rmn" w:cs="Tms Rmn"/>
          <w:color w:val="4F4F4F"/>
          <w:kern w:val="0"/>
          <w:sz w:val="24"/>
          <w:szCs w:val="24"/>
        </w:rPr>
      </w:pPr>
      <w:r>
        <w:rPr>
          <w:rFonts w:ascii="Tms Rmn" w:hAnsi="Tms Rmn" w:cs="Tms Rmn"/>
          <w:color w:val="4F4F4F"/>
          <w:kern w:val="0"/>
          <w:sz w:val="24"/>
          <w:szCs w:val="24"/>
        </w:rPr>
        <w:t>Další povinnou náležitostí stanov jsou pravidla pro správu domu a pozemku a užívání společných částí. Těmito pravidly by většinou mohly být buď nahrazeny dosavadní domovní řády, anebo by mohl být ve stanovách vytvořen základ pro tvorbu domovního řádu, který by vycházel z pravidel určených stanovami. V úvahu přichází např. pravidla pro dodržování nočního klidu, pravidla pro zamykání domu či nakládání s klíči. Tato pravidla se však mohou týkat jen užívání společných částí, proto ani zde nemá omezení vlastníka bytu své místo. Užívání bytu a společných částí je neoddělitelně spjato a vlastník jednotky je povinen se těmito pravidly řídit, jakož i zajistit jejich dodržování osobami, jimž umožnil přístup do domu nebo bytu (§ 1176 o. z.). Musí však vždy jít o pravidla, jejichž smyslem a účelem je vskutku upravit užívání společných částí, nikoliv ve skutečnosti omezit nakládání s bytem (jednotkou).</w:t>
      </w:r>
    </w:p>
    <w:p w:rsidR="007C1467" w:rsidRDefault="007C1467" w:rsidP="007C1467">
      <w:pPr>
        <w:widowControl w:val="0"/>
        <w:autoSpaceDE w:val="0"/>
        <w:autoSpaceDN w:val="0"/>
        <w:adjustRightInd w:val="0"/>
        <w:spacing w:before="120" w:after="0" w:line="240" w:lineRule="atLeast"/>
        <w:ind w:firstLine="708"/>
        <w:jc w:val="both"/>
        <w:rPr>
          <w:rFonts w:ascii="Tms Rmn" w:hAnsi="Tms Rmn" w:cs="Tms Rmn"/>
          <w:color w:val="4F4F4F"/>
          <w:kern w:val="0"/>
          <w:sz w:val="24"/>
          <w:szCs w:val="24"/>
        </w:rPr>
      </w:pPr>
      <w:r>
        <w:rPr>
          <w:rFonts w:ascii="Tms Rmn" w:hAnsi="Tms Rmn" w:cs="Tms Rmn"/>
          <w:color w:val="4F4F4F"/>
          <w:kern w:val="0"/>
          <w:sz w:val="24"/>
          <w:szCs w:val="24"/>
        </w:rPr>
        <w:t xml:space="preserve">Základní vymezení práv a povinností vlastníka jednotky obsahuje § 1175 odst. 1 o. z., podle něhož má vlastník jednotky právo svobodně spravovat, výlučně užívat a uvnitř stavebně upravovat svůj byt a zároveň užívat společné části, přičemž je omezen stejnými právy jiných vlastníků jednotek. Jde o vyjádření obecného práva a povinnosti každého vlastníka v návaznosti na § 1012 o. z. o předmětu a obsahu vlastnického práva a jeho omezení podle § 1013 o. z., modifikované specifickými znaky bytového spoluvlastnictví. Z citovaného ustanovení tak plyne právo vlastníka jednotky s bytem libovolně a výlučně nakládat, ale zároveň i možnost ostatních vlastníků jednotek se bránit proti případnému zneužití toho práva nežádoucím způsobem negatorní žalobou (srov. rozsudek Nejvyššího soudu ze dne 30. 10. 2018, </w:t>
      </w:r>
      <w:proofErr w:type="spellStart"/>
      <w:r>
        <w:rPr>
          <w:rFonts w:ascii="Tms Rmn" w:hAnsi="Tms Rmn" w:cs="Tms Rmn"/>
          <w:color w:val="4F4F4F"/>
          <w:kern w:val="0"/>
          <w:sz w:val="24"/>
          <w:szCs w:val="24"/>
        </w:rPr>
        <w:t>sp</w:t>
      </w:r>
      <w:proofErr w:type="spellEnd"/>
      <w:r>
        <w:rPr>
          <w:rFonts w:ascii="Tms Rmn" w:hAnsi="Tms Rmn" w:cs="Tms Rmn"/>
          <w:color w:val="4F4F4F"/>
          <w:kern w:val="0"/>
          <w:sz w:val="24"/>
          <w:szCs w:val="24"/>
        </w:rPr>
        <w:t xml:space="preserve">. zn. 26 </w:t>
      </w:r>
      <w:proofErr w:type="spellStart"/>
      <w:r>
        <w:rPr>
          <w:rFonts w:ascii="Tms Rmn" w:hAnsi="Tms Rmn" w:cs="Tms Rmn"/>
          <w:color w:val="4F4F4F"/>
          <w:kern w:val="0"/>
          <w:sz w:val="24"/>
          <w:szCs w:val="24"/>
        </w:rPr>
        <w:t>Cdo</w:t>
      </w:r>
      <w:proofErr w:type="spellEnd"/>
      <w:r>
        <w:rPr>
          <w:rFonts w:ascii="Tms Rmn" w:hAnsi="Tms Rmn" w:cs="Tms Rmn"/>
          <w:color w:val="4F4F4F"/>
          <w:kern w:val="0"/>
          <w:sz w:val="24"/>
          <w:szCs w:val="24"/>
        </w:rPr>
        <w:t xml:space="preserve"> 287/2018, i dřívější judikaturu tam uvedenou).</w:t>
      </w:r>
    </w:p>
    <w:p w:rsidR="007C1467" w:rsidRDefault="007C1467" w:rsidP="007C1467">
      <w:pPr>
        <w:widowControl w:val="0"/>
        <w:autoSpaceDE w:val="0"/>
        <w:autoSpaceDN w:val="0"/>
        <w:adjustRightInd w:val="0"/>
        <w:spacing w:before="120" w:after="0" w:line="240" w:lineRule="atLeast"/>
        <w:ind w:firstLine="708"/>
        <w:jc w:val="both"/>
        <w:rPr>
          <w:rFonts w:ascii="Tms Rmn" w:hAnsi="Tms Rmn" w:cs="Tms Rmn"/>
          <w:color w:val="000000"/>
          <w:kern w:val="0"/>
          <w:sz w:val="24"/>
          <w:szCs w:val="24"/>
        </w:rPr>
      </w:pPr>
      <w:r>
        <w:rPr>
          <w:rFonts w:ascii="Tms Rmn" w:hAnsi="Tms Rmn" w:cs="Tms Rmn"/>
          <w:color w:val="4F4F4F"/>
          <w:kern w:val="0"/>
          <w:sz w:val="24"/>
          <w:szCs w:val="24"/>
        </w:rPr>
        <w:t xml:space="preserve">V případě, že vlastník jednotky užívá byt k jinému účelu, než vyplývá z prohlášení (§ 1166 o. z.) – např. právě k ubytování cizích osob ke krátkodobému pronájmu a opakovaně (dlouhodobě) tím ruší obvyklý klid a pořádek v domě, má společenství vlastníků možnost postupovat </w:t>
      </w:r>
      <w:r>
        <w:rPr>
          <w:rFonts w:ascii="Tms Rmn" w:hAnsi="Tms Rmn" w:cs="Tms Rmn"/>
          <w:color w:val="000000"/>
          <w:kern w:val="0"/>
          <w:sz w:val="24"/>
          <w:szCs w:val="24"/>
        </w:rPr>
        <w:t>podle § 1184 odst. 1 o. z. a navrhnout nucený prodej jednotky toho vlastníka, který přes písemnou výstrahu své povinnosti porušuje způsobem podstatně omezujícím nebo znemožňujícím výkon práv ostatních vlastníků jednotek, přičemž tento proces byl upřesněn a zjednodušen provedenou novelizací</w:t>
      </w:r>
      <w:r>
        <w:rPr>
          <w:rFonts w:ascii="Tms Rmn" w:hAnsi="Tms Rmn" w:cs="Tms Rmn"/>
          <w:color w:val="4F4F4F"/>
          <w:kern w:val="0"/>
          <w:sz w:val="24"/>
          <w:szCs w:val="24"/>
        </w:rPr>
        <w:t xml:space="preserve"> občanského zákoníku</w:t>
      </w:r>
      <w:r>
        <w:rPr>
          <w:rFonts w:ascii="Tms Rmn" w:hAnsi="Tms Rmn" w:cs="Tms Rmn"/>
          <w:color w:val="000000"/>
          <w:kern w:val="0"/>
          <w:sz w:val="24"/>
          <w:szCs w:val="24"/>
        </w:rPr>
        <w:t xml:space="preserve"> zákonem č. 163/2020 Sb., kterým se mění zákon č. 89/2012 Sb., občanský zákoník, ve znění pozdějších předpisů, a další související zákony, účinné od 1. 7. 2020.</w:t>
      </w:r>
    </w:p>
    <w:p w:rsidR="007C1467" w:rsidRDefault="007C1467" w:rsidP="007C1467">
      <w:pPr>
        <w:widowControl w:val="0"/>
        <w:autoSpaceDE w:val="0"/>
        <w:autoSpaceDN w:val="0"/>
        <w:adjustRightInd w:val="0"/>
        <w:spacing w:before="120" w:after="0" w:line="240" w:lineRule="atLeast"/>
        <w:ind w:firstLine="708"/>
        <w:jc w:val="both"/>
        <w:rPr>
          <w:rFonts w:ascii="Tms Rmn" w:hAnsi="Tms Rmn" w:cs="Tms Rmn"/>
          <w:color w:val="4F4F4F"/>
          <w:kern w:val="0"/>
          <w:sz w:val="24"/>
          <w:szCs w:val="24"/>
        </w:rPr>
      </w:pPr>
      <w:r>
        <w:rPr>
          <w:rFonts w:ascii="Tms Rmn" w:hAnsi="Tms Rmn" w:cs="Tms Rmn"/>
          <w:color w:val="4F4F4F"/>
          <w:kern w:val="0"/>
          <w:sz w:val="24"/>
          <w:szCs w:val="24"/>
        </w:rPr>
        <w:lastRenderedPageBreak/>
        <w:t>Lze tak uzavřít, že zákonná působnost společenství vlastníků ve smyslu § 1189 o. z.  je omezena na oblast správy, provozu, údržby, oprav domu, jeho společných částí a pozemku, nemůže proto zasahovat do vlastnických práv k bytům (jednotkám) jednotlivých vlastníků. Společenství vlastníků se tak při úpravě svých stanov (jejich změně) může (je oprávněno) pohybovat pouze v rámci kompetencí vyplývající z jeho působnosti. Rozhodne-li shromáždění společenství vlastníků prostřednictvím stanov o omezení vlastnického práva vlastníků jednotek ohledně užívání bytu, jde o rozhodnutí, které bylo přijato v záležitosti, o které tento orgán nemá působnost rozhodnout, a hledí se na něj, jako by nebylo přijato (§ 245 o. z.).</w:t>
      </w:r>
    </w:p>
    <w:p w:rsidR="007C1467" w:rsidRDefault="007C1467" w:rsidP="007C1467">
      <w:pPr>
        <w:widowControl w:val="0"/>
        <w:autoSpaceDE w:val="0"/>
        <w:autoSpaceDN w:val="0"/>
        <w:adjustRightInd w:val="0"/>
        <w:spacing w:before="120" w:after="0" w:line="240" w:lineRule="atLeast"/>
        <w:ind w:firstLine="708"/>
        <w:jc w:val="both"/>
        <w:rPr>
          <w:rFonts w:ascii="Tms Rmn" w:hAnsi="Tms Rmn" w:cs="Tms Rmn"/>
          <w:color w:val="000000"/>
          <w:kern w:val="0"/>
          <w:sz w:val="24"/>
          <w:szCs w:val="24"/>
        </w:rPr>
      </w:pPr>
      <w:r>
        <w:rPr>
          <w:rFonts w:ascii="Tms Rmn" w:hAnsi="Tms Rmn" w:cs="Tms Rmn"/>
          <w:color w:val="000000"/>
          <w:kern w:val="0"/>
          <w:sz w:val="24"/>
          <w:szCs w:val="24"/>
        </w:rPr>
        <w:t xml:space="preserve">Soudní praxe se již ustálila v závěru, že § 245 o. z., který definuje vady, pro které se na rozhodnutí členské schůze nebo orgánu spolku hledí, jako by nebylo přijato (jde o rozpor rozhodnutí s dobrými mravy, změnu stanov v rozporu s kogentními ustanoveními zákona a rozhodnutí v záležitosti, která nepatří do jeho působnosti), se podle § 1221 o. z. použije i v poměrech společenství vlastníků (srov. usnesení Nejvyššího soudu ze dne 10. 3. 2020, </w:t>
      </w:r>
      <w:proofErr w:type="spellStart"/>
      <w:r>
        <w:rPr>
          <w:rFonts w:ascii="Tms Rmn" w:hAnsi="Tms Rmn" w:cs="Tms Rmn"/>
          <w:color w:val="000000"/>
          <w:kern w:val="0"/>
          <w:sz w:val="24"/>
          <w:szCs w:val="24"/>
        </w:rPr>
        <w:t>sp</w:t>
      </w:r>
      <w:proofErr w:type="spellEnd"/>
      <w:r>
        <w:rPr>
          <w:rFonts w:ascii="Tms Rmn" w:hAnsi="Tms Rmn" w:cs="Tms Rmn"/>
          <w:color w:val="000000"/>
          <w:kern w:val="0"/>
          <w:sz w:val="24"/>
          <w:szCs w:val="24"/>
        </w:rPr>
        <w:t xml:space="preserve">. zn. 27 </w:t>
      </w:r>
      <w:proofErr w:type="spellStart"/>
      <w:r>
        <w:rPr>
          <w:rFonts w:ascii="Tms Rmn" w:hAnsi="Tms Rmn" w:cs="Tms Rmn"/>
          <w:color w:val="000000"/>
          <w:kern w:val="0"/>
          <w:sz w:val="24"/>
          <w:szCs w:val="24"/>
        </w:rPr>
        <w:t>Cdo</w:t>
      </w:r>
      <w:proofErr w:type="spellEnd"/>
      <w:r>
        <w:rPr>
          <w:rFonts w:ascii="Tms Rmn" w:hAnsi="Tms Rmn" w:cs="Tms Rmn"/>
          <w:color w:val="000000"/>
          <w:kern w:val="0"/>
          <w:sz w:val="24"/>
          <w:szCs w:val="24"/>
        </w:rPr>
        <w:t xml:space="preserve"> 4639/2018, uveřejněné pod číslem 84/2020 Sbírky soudních rozhodnutí a stanovisek, rozsudek Nejvyššího soudu ze dne 22. 2. 2022, </w:t>
      </w:r>
      <w:proofErr w:type="spellStart"/>
      <w:r>
        <w:rPr>
          <w:rFonts w:ascii="Tms Rmn" w:hAnsi="Tms Rmn" w:cs="Tms Rmn"/>
          <w:color w:val="000000"/>
          <w:kern w:val="0"/>
          <w:sz w:val="24"/>
          <w:szCs w:val="24"/>
        </w:rPr>
        <w:t>sp</w:t>
      </w:r>
      <w:proofErr w:type="spellEnd"/>
      <w:r>
        <w:rPr>
          <w:rFonts w:ascii="Tms Rmn" w:hAnsi="Tms Rmn" w:cs="Tms Rmn"/>
          <w:color w:val="000000"/>
          <w:kern w:val="0"/>
          <w:sz w:val="24"/>
          <w:szCs w:val="24"/>
        </w:rPr>
        <w:t xml:space="preserve">. zn. 26 </w:t>
      </w:r>
      <w:proofErr w:type="spellStart"/>
      <w:r>
        <w:rPr>
          <w:rFonts w:ascii="Tms Rmn" w:hAnsi="Tms Rmn" w:cs="Tms Rmn"/>
          <w:color w:val="000000"/>
          <w:kern w:val="0"/>
          <w:sz w:val="24"/>
          <w:szCs w:val="24"/>
        </w:rPr>
        <w:t>Cdo</w:t>
      </w:r>
      <w:proofErr w:type="spellEnd"/>
      <w:r>
        <w:rPr>
          <w:rFonts w:ascii="Tms Rmn" w:hAnsi="Tms Rmn" w:cs="Tms Rmn"/>
          <w:color w:val="000000"/>
          <w:kern w:val="0"/>
          <w:sz w:val="24"/>
          <w:szCs w:val="24"/>
        </w:rPr>
        <w:t xml:space="preserve"> 2275/2021, nebo jeho usnesení ze dne 20. 7. 2022, </w:t>
      </w:r>
      <w:proofErr w:type="spellStart"/>
      <w:r>
        <w:rPr>
          <w:rFonts w:ascii="Tms Rmn" w:hAnsi="Tms Rmn" w:cs="Tms Rmn"/>
          <w:color w:val="000000"/>
          <w:kern w:val="0"/>
          <w:sz w:val="24"/>
          <w:szCs w:val="24"/>
        </w:rPr>
        <w:t>sp</w:t>
      </w:r>
      <w:proofErr w:type="spellEnd"/>
      <w:r>
        <w:rPr>
          <w:rFonts w:ascii="Tms Rmn" w:hAnsi="Tms Rmn" w:cs="Tms Rmn"/>
          <w:color w:val="000000"/>
          <w:kern w:val="0"/>
          <w:sz w:val="24"/>
          <w:szCs w:val="24"/>
        </w:rPr>
        <w:t xml:space="preserve">. zn. 26 </w:t>
      </w:r>
      <w:proofErr w:type="spellStart"/>
      <w:r>
        <w:rPr>
          <w:rFonts w:ascii="Tms Rmn" w:hAnsi="Tms Rmn" w:cs="Tms Rmn"/>
          <w:color w:val="000000"/>
          <w:kern w:val="0"/>
          <w:sz w:val="24"/>
          <w:szCs w:val="24"/>
        </w:rPr>
        <w:t>Cdo</w:t>
      </w:r>
      <w:proofErr w:type="spellEnd"/>
      <w:r>
        <w:rPr>
          <w:rFonts w:ascii="Tms Rmn" w:hAnsi="Tms Rmn" w:cs="Tms Rmn"/>
          <w:color w:val="000000"/>
          <w:kern w:val="0"/>
          <w:sz w:val="24"/>
          <w:szCs w:val="24"/>
        </w:rPr>
        <w:t xml:space="preserve"> 3352/2021). Rozhodnutí, na která se hledí, jako by nebyla přijata, jsou označována jako nicotná (nulitní), nevyvolávají žádné právní následky, nikoho nezavazují, nemohou </w:t>
      </w:r>
      <w:proofErr w:type="spellStart"/>
      <w:r>
        <w:rPr>
          <w:rFonts w:ascii="Tms Rmn" w:hAnsi="Tms Rmn" w:cs="Tms Rmn"/>
          <w:color w:val="000000"/>
          <w:kern w:val="0"/>
          <w:sz w:val="24"/>
          <w:szCs w:val="24"/>
        </w:rPr>
        <w:t>konvalidovat</w:t>
      </w:r>
      <w:proofErr w:type="spellEnd"/>
      <w:r>
        <w:rPr>
          <w:rFonts w:ascii="Tms Rmn" w:hAnsi="Tms Rmn" w:cs="Tms Rmn"/>
          <w:color w:val="000000"/>
          <w:kern w:val="0"/>
          <w:sz w:val="24"/>
          <w:szCs w:val="24"/>
        </w:rPr>
        <w:t xml:space="preserve">. Z procesního hlediska pak vyplývá z § 90 odst. 1 zákona č. 292/2013 Sb., že zjistí-li soud v průběhu řízení o vyslovení neplatnosti orgánu právnické osoby, že na rozhodnutí se hledí, jako by nebylo přijato, rozhodne i bez návrhu o tom, že o rozhodnutí orgánu nejde, aniž by musel současně zamítat návrh na vyslovení jeho neplatnosti (srov. usnesení Nejvyššího soudu ze dne 26. 10. 2016, </w:t>
      </w:r>
      <w:proofErr w:type="spellStart"/>
      <w:r>
        <w:rPr>
          <w:rFonts w:ascii="Tms Rmn" w:hAnsi="Tms Rmn" w:cs="Tms Rmn"/>
          <w:color w:val="000000"/>
          <w:kern w:val="0"/>
          <w:sz w:val="24"/>
          <w:szCs w:val="24"/>
        </w:rPr>
        <w:t>sp</w:t>
      </w:r>
      <w:proofErr w:type="spellEnd"/>
      <w:r>
        <w:rPr>
          <w:rFonts w:ascii="Tms Rmn" w:hAnsi="Tms Rmn" w:cs="Tms Rmn"/>
          <w:color w:val="000000"/>
          <w:kern w:val="0"/>
          <w:sz w:val="24"/>
          <w:szCs w:val="24"/>
        </w:rPr>
        <w:t xml:space="preserve">. zn. 29 </w:t>
      </w:r>
      <w:proofErr w:type="spellStart"/>
      <w:r>
        <w:rPr>
          <w:rFonts w:ascii="Tms Rmn" w:hAnsi="Tms Rmn" w:cs="Tms Rmn"/>
          <w:color w:val="000000"/>
          <w:kern w:val="0"/>
          <w:sz w:val="24"/>
          <w:szCs w:val="24"/>
        </w:rPr>
        <w:t>Cdo</w:t>
      </w:r>
      <w:proofErr w:type="spellEnd"/>
      <w:r>
        <w:rPr>
          <w:rFonts w:ascii="Tms Rmn" w:hAnsi="Tms Rmn" w:cs="Tms Rmn"/>
          <w:color w:val="000000"/>
          <w:kern w:val="0"/>
          <w:sz w:val="24"/>
          <w:szCs w:val="24"/>
        </w:rPr>
        <w:t xml:space="preserve"> 1817/2016, uveřejněné pod číslem 46/2018 Sbírky soudních rozhodnutí a stanovisek).</w:t>
      </w:r>
    </w:p>
    <w:p w:rsidR="007C1467" w:rsidRDefault="007C1467" w:rsidP="007C1467">
      <w:pPr>
        <w:widowControl w:val="0"/>
        <w:autoSpaceDE w:val="0"/>
        <w:autoSpaceDN w:val="0"/>
        <w:adjustRightInd w:val="0"/>
        <w:spacing w:before="120" w:after="0" w:line="240" w:lineRule="atLeast"/>
        <w:ind w:firstLine="708"/>
        <w:jc w:val="both"/>
        <w:rPr>
          <w:rFonts w:ascii="Tms Rmn" w:hAnsi="Tms Rmn" w:cs="Tms Rmn"/>
          <w:color w:val="000000"/>
          <w:kern w:val="0"/>
          <w:sz w:val="24"/>
          <w:szCs w:val="24"/>
        </w:rPr>
      </w:pPr>
      <w:r>
        <w:rPr>
          <w:rFonts w:ascii="Tms Rmn" w:hAnsi="Tms Rmn" w:cs="Tms Rmn"/>
          <w:color w:val="000000"/>
          <w:kern w:val="0"/>
          <w:sz w:val="24"/>
          <w:szCs w:val="24"/>
        </w:rPr>
        <w:t>Poměřováno shora uvedenými závěry je rozhodnutí odvolacího soudu správné.</w:t>
      </w:r>
    </w:p>
    <w:p w:rsidR="007C1467" w:rsidRDefault="007C1467" w:rsidP="007C1467">
      <w:pPr>
        <w:widowControl w:val="0"/>
        <w:autoSpaceDE w:val="0"/>
        <w:autoSpaceDN w:val="0"/>
        <w:adjustRightInd w:val="0"/>
        <w:spacing w:before="120" w:after="0" w:line="240" w:lineRule="atLeast"/>
        <w:ind w:firstLine="708"/>
        <w:jc w:val="both"/>
        <w:rPr>
          <w:rFonts w:ascii="Tms Rmn" w:hAnsi="Tms Rmn" w:cs="Tms Rmn"/>
          <w:color w:val="000000"/>
          <w:kern w:val="0"/>
          <w:sz w:val="24"/>
          <w:szCs w:val="24"/>
        </w:rPr>
      </w:pPr>
      <w:r>
        <w:rPr>
          <w:rFonts w:ascii="Tms Rmn" w:hAnsi="Tms Rmn" w:cs="Tms Rmn"/>
          <w:color w:val="000000"/>
          <w:kern w:val="0"/>
          <w:sz w:val="24"/>
          <w:szCs w:val="24"/>
        </w:rPr>
        <w:t xml:space="preserve">Ohledně další otázky dovolatele, zda byly splněny předpoklady normované § 1209 o. z. pro přezkoumání platnosti rozhodnutí shromáždění účastníka, zejména zda bylo splněno věcné hledisko existence důležitého důvodu, dovolací soud pro úplnost uvádí, že je výrazem standardní soudní praxe, že usnesení shromáždění vlastníků jednotek o změně stanov společenství představuje důležitý důvod ve smyslu ustanovení § 1209 odst. 1 o. z. (srov. usnesení Nejvyššího soudu ze dne 17. 1. 2018, </w:t>
      </w:r>
      <w:proofErr w:type="spellStart"/>
      <w:r>
        <w:rPr>
          <w:rFonts w:ascii="Tms Rmn" w:hAnsi="Tms Rmn" w:cs="Tms Rmn"/>
          <w:color w:val="000000"/>
          <w:kern w:val="0"/>
          <w:sz w:val="24"/>
          <w:szCs w:val="24"/>
        </w:rPr>
        <w:t>sp</w:t>
      </w:r>
      <w:proofErr w:type="spellEnd"/>
      <w:r>
        <w:rPr>
          <w:rFonts w:ascii="Tms Rmn" w:hAnsi="Tms Rmn" w:cs="Tms Rmn"/>
          <w:color w:val="000000"/>
          <w:kern w:val="0"/>
          <w:sz w:val="24"/>
          <w:szCs w:val="24"/>
        </w:rPr>
        <w:t xml:space="preserve">. zn. 26 </w:t>
      </w:r>
      <w:proofErr w:type="spellStart"/>
      <w:r>
        <w:rPr>
          <w:rFonts w:ascii="Tms Rmn" w:hAnsi="Tms Rmn" w:cs="Tms Rmn"/>
          <w:color w:val="000000"/>
          <w:kern w:val="0"/>
          <w:sz w:val="24"/>
          <w:szCs w:val="24"/>
        </w:rPr>
        <w:t>Cdo</w:t>
      </w:r>
      <w:proofErr w:type="spellEnd"/>
      <w:r>
        <w:rPr>
          <w:rFonts w:ascii="Tms Rmn" w:hAnsi="Tms Rmn" w:cs="Tms Rmn"/>
          <w:color w:val="000000"/>
          <w:kern w:val="0"/>
          <w:sz w:val="24"/>
          <w:szCs w:val="24"/>
        </w:rPr>
        <w:t xml:space="preserve"> 3465/2017, a ze dne 18. 4. 2018, </w:t>
      </w:r>
      <w:proofErr w:type="spellStart"/>
      <w:r>
        <w:rPr>
          <w:rFonts w:ascii="Tms Rmn" w:hAnsi="Tms Rmn" w:cs="Tms Rmn"/>
          <w:color w:val="000000"/>
          <w:kern w:val="0"/>
          <w:sz w:val="24"/>
          <w:szCs w:val="24"/>
        </w:rPr>
        <w:t>sp</w:t>
      </w:r>
      <w:proofErr w:type="spellEnd"/>
      <w:r>
        <w:rPr>
          <w:rFonts w:ascii="Tms Rmn" w:hAnsi="Tms Rmn" w:cs="Tms Rmn"/>
          <w:color w:val="000000"/>
          <w:kern w:val="0"/>
          <w:sz w:val="24"/>
          <w:szCs w:val="24"/>
        </w:rPr>
        <w:t xml:space="preserve">. zn. 26 </w:t>
      </w:r>
      <w:proofErr w:type="spellStart"/>
      <w:r>
        <w:rPr>
          <w:rFonts w:ascii="Tms Rmn" w:hAnsi="Tms Rmn" w:cs="Tms Rmn"/>
          <w:color w:val="000000"/>
          <w:kern w:val="0"/>
          <w:sz w:val="24"/>
          <w:szCs w:val="24"/>
        </w:rPr>
        <w:t>Cdo</w:t>
      </w:r>
      <w:proofErr w:type="spellEnd"/>
      <w:r>
        <w:rPr>
          <w:rFonts w:ascii="Tms Rmn" w:hAnsi="Tms Rmn" w:cs="Tms Rmn"/>
          <w:color w:val="000000"/>
          <w:kern w:val="0"/>
          <w:sz w:val="24"/>
          <w:szCs w:val="24"/>
        </w:rPr>
        <w:t xml:space="preserve"> 781/2018 - ústavní stížnosti podané proti citovaným usnesením odmítl Ústavní soud usneseními ze dne 12. 3. 2019, </w:t>
      </w:r>
      <w:proofErr w:type="spellStart"/>
      <w:r>
        <w:rPr>
          <w:rFonts w:ascii="Tms Rmn" w:hAnsi="Tms Rmn" w:cs="Tms Rmn"/>
          <w:color w:val="000000"/>
          <w:kern w:val="0"/>
          <w:sz w:val="24"/>
          <w:szCs w:val="24"/>
        </w:rPr>
        <w:t>sp</w:t>
      </w:r>
      <w:proofErr w:type="spellEnd"/>
      <w:r>
        <w:rPr>
          <w:rFonts w:ascii="Tms Rmn" w:hAnsi="Tms Rmn" w:cs="Tms Rmn"/>
          <w:color w:val="000000"/>
          <w:kern w:val="0"/>
          <w:sz w:val="24"/>
          <w:szCs w:val="24"/>
        </w:rPr>
        <w:t xml:space="preserve">. zn. I. ÚS 1273/18, a ze dne 2. 7. 2019, </w:t>
      </w:r>
      <w:proofErr w:type="spellStart"/>
      <w:r>
        <w:rPr>
          <w:rFonts w:ascii="Tms Rmn" w:hAnsi="Tms Rmn" w:cs="Tms Rmn"/>
          <w:color w:val="000000"/>
          <w:kern w:val="0"/>
          <w:sz w:val="24"/>
          <w:szCs w:val="24"/>
        </w:rPr>
        <w:t>sp</w:t>
      </w:r>
      <w:proofErr w:type="spellEnd"/>
      <w:r>
        <w:rPr>
          <w:rFonts w:ascii="Tms Rmn" w:hAnsi="Tms Rmn" w:cs="Tms Rmn"/>
          <w:color w:val="000000"/>
          <w:kern w:val="0"/>
          <w:sz w:val="24"/>
          <w:szCs w:val="24"/>
        </w:rPr>
        <w:t xml:space="preserve">. zn. II. ÚS 2240/18). Odvolací soud však tuto otázku neřešil, jestliže považoval rozhodnutí účastníka za nulitní, nikoli neplatné. Ze stejného důvodu tak nepřichází v úvahu aplikace § 260 o. z., na kterou poukazuje dovolatel. </w:t>
      </w:r>
    </w:p>
    <w:p w:rsidR="007C1467" w:rsidRDefault="007C1467" w:rsidP="007C1467">
      <w:pPr>
        <w:widowControl w:val="0"/>
        <w:autoSpaceDE w:val="0"/>
        <w:autoSpaceDN w:val="0"/>
        <w:adjustRightInd w:val="0"/>
        <w:spacing w:before="120" w:after="0" w:line="240" w:lineRule="atLeast"/>
        <w:ind w:firstLine="708"/>
        <w:jc w:val="both"/>
        <w:rPr>
          <w:rFonts w:ascii="Tms Rmn" w:hAnsi="Tms Rmn" w:cs="Tms Rmn"/>
          <w:color w:val="000000"/>
          <w:kern w:val="0"/>
          <w:sz w:val="24"/>
          <w:szCs w:val="24"/>
        </w:rPr>
      </w:pPr>
      <w:r>
        <w:rPr>
          <w:rFonts w:ascii="Tms Rmn" w:hAnsi="Tms Rmn" w:cs="Tms Rmn"/>
          <w:color w:val="000000"/>
          <w:kern w:val="0"/>
          <w:sz w:val="24"/>
          <w:szCs w:val="24"/>
        </w:rPr>
        <w:t xml:space="preserve"> Z pohledu uplatněných dovolacích námitek je napadené rozhodnutí správné. Nejvyšší soud </w:t>
      </w:r>
      <w:proofErr w:type="gramStart"/>
      <w:r>
        <w:rPr>
          <w:rFonts w:ascii="Tms Rmn" w:hAnsi="Tms Rmn" w:cs="Tms Rmn"/>
          <w:color w:val="000000"/>
          <w:kern w:val="0"/>
          <w:sz w:val="24"/>
          <w:szCs w:val="24"/>
        </w:rPr>
        <w:t>proto - aniž</w:t>
      </w:r>
      <w:proofErr w:type="gramEnd"/>
      <w:r>
        <w:rPr>
          <w:rFonts w:ascii="Tms Rmn" w:hAnsi="Tms Rmn" w:cs="Tms Rmn"/>
          <w:color w:val="000000"/>
          <w:kern w:val="0"/>
          <w:sz w:val="24"/>
          <w:szCs w:val="24"/>
        </w:rPr>
        <w:t xml:space="preserve"> ve věci nařídil jednání (§ 243a odst. 1 o. s. ř.) - dovolání jako nedůvodné zamítl [§ 243d odst. 1 písm. a) o. s. ř.]. </w:t>
      </w:r>
    </w:p>
    <w:p w:rsidR="007C1467" w:rsidRDefault="007C1467" w:rsidP="007C1467">
      <w:pPr>
        <w:widowControl w:val="0"/>
        <w:autoSpaceDE w:val="0"/>
        <w:autoSpaceDN w:val="0"/>
        <w:adjustRightInd w:val="0"/>
        <w:spacing w:before="120" w:after="0" w:line="240" w:lineRule="atLeast"/>
        <w:ind w:firstLine="708"/>
        <w:jc w:val="both"/>
        <w:rPr>
          <w:rFonts w:ascii="Tms Rmn" w:hAnsi="Tms Rmn" w:cs="Tms Rmn"/>
          <w:color w:val="000000"/>
          <w:kern w:val="0"/>
          <w:sz w:val="24"/>
          <w:szCs w:val="24"/>
        </w:rPr>
      </w:pPr>
      <w:r>
        <w:rPr>
          <w:rFonts w:ascii="Tms Rmn" w:hAnsi="Tms Rmn" w:cs="Tms Rmn"/>
          <w:color w:val="000000"/>
          <w:kern w:val="0"/>
          <w:sz w:val="24"/>
          <w:szCs w:val="24"/>
        </w:rPr>
        <w:t xml:space="preserve">O náhradě nákladů dovolacího řízení dovolací soud rozhodl podle § 243c odst. 3, § 224 odst. 1, § 151 odst. 1 a § 142 odst. 1 o. s. ř. a zavázal procesně neúspěšného dovolatele k náhradě nákladů dovolacího řízení, které vznikly navrhovateli v souvislosti s podáním vyjádření k dovolání prostřednictvím jeho zástupce z řad advokátů. Výši nákladů dovolacího řízení stanovil dovolací soud podle vyhlášky č. 177/1996 Sb., o odměnách advokátů a náhradách advokátů za poskytování právních služeb (advokátní tarif), dále jen „AT“ (srov. nález Ústavního soudu ze dne 17. 4. 2013, </w:t>
      </w:r>
      <w:proofErr w:type="spellStart"/>
      <w:r>
        <w:rPr>
          <w:rFonts w:ascii="Tms Rmn" w:hAnsi="Tms Rmn" w:cs="Tms Rmn"/>
          <w:color w:val="000000"/>
          <w:kern w:val="0"/>
          <w:sz w:val="24"/>
          <w:szCs w:val="24"/>
        </w:rPr>
        <w:t>sp</w:t>
      </w:r>
      <w:proofErr w:type="spellEnd"/>
      <w:r>
        <w:rPr>
          <w:rFonts w:ascii="Tms Rmn" w:hAnsi="Tms Rmn" w:cs="Tms Rmn"/>
          <w:color w:val="000000"/>
          <w:kern w:val="0"/>
          <w:sz w:val="24"/>
          <w:szCs w:val="24"/>
        </w:rPr>
        <w:t xml:space="preserve">. zn. </w:t>
      </w:r>
      <w:proofErr w:type="spellStart"/>
      <w:r>
        <w:rPr>
          <w:rFonts w:ascii="Tms Rmn" w:hAnsi="Tms Rmn" w:cs="Tms Rmn"/>
          <w:color w:val="000000"/>
          <w:kern w:val="0"/>
          <w:sz w:val="24"/>
          <w:szCs w:val="24"/>
        </w:rPr>
        <w:t>Pl</w:t>
      </w:r>
      <w:proofErr w:type="spellEnd"/>
      <w:r>
        <w:rPr>
          <w:rFonts w:ascii="Tms Rmn" w:hAnsi="Tms Rmn" w:cs="Tms Rmn"/>
          <w:color w:val="000000"/>
          <w:kern w:val="0"/>
          <w:sz w:val="24"/>
          <w:szCs w:val="24"/>
        </w:rPr>
        <w:t xml:space="preserve">. ÚS 25/12, který byl publikován ve Sbírce zákonů pod č. 116/2013 Sb., rozsudek </w:t>
      </w:r>
      <w:r>
        <w:rPr>
          <w:rFonts w:ascii="Tms Rmn" w:hAnsi="Tms Rmn" w:cs="Tms Rmn"/>
          <w:color w:val="000000"/>
          <w:kern w:val="0"/>
          <w:sz w:val="24"/>
          <w:szCs w:val="24"/>
        </w:rPr>
        <w:lastRenderedPageBreak/>
        <w:t xml:space="preserve">Nejvyššího soudu ze dne 15. 5. 2013, </w:t>
      </w:r>
      <w:proofErr w:type="spellStart"/>
      <w:r>
        <w:rPr>
          <w:rFonts w:ascii="Tms Rmn" w:hAnsi="Tms Rmn" w:cs="Tms Rmn"/>
          <w:color w:val="000000"/>
          <w:kern w:val="0"/>
          <w:sz w:val="24"/>
          <w:szCs w:val="24"/>
        </w:rPr>
        <w:t>sp</w:t>
      </w:r>
      <w:proofErr w:type="spellEnd"/>
      <w:r>
        <w:rPr>
          <w:rFonts w:ascii="Tms Rmn" w:hAnsi="Tms Rmn" w:cs="Tms Rmn"/>
          <w:color w:val="000000"/>
          <w:kern w:val="0"/>
          <w:sz w:val="24"/>
          <w:szCs w:val="24"/>
        </w:rPr>
        <w:t xml:space="preserve">. zn. 31 </w:t>
      </w:r>
      <w:proofErr w:type="spellStart"/>
      <w:r>
        <w:rPr>
          <w:rFonts w:ascii="Tms Rmn" w:hAnsi="Tms Rmn" w:cs="Tms Rmn"/>
          <w:color w:val="000000"/>
          <w:kern w:val="0"/>
          <w:sz w:val="24"/>
          <w:szCs w:val="24"/>
        </w:rPr>
        <w:t>Cdo</w:t>
      </w:r>
      <w:proofErr w:type="spellEnd"/>
      <w:r>
        <w:rPr>
          <w:rFonts w:ascii="Tms Rmn" w:hAnsi="Tms Rmn" w:cs="Tms Rmn"/>
          <w:color w:val="000000"/>
          <w:kern w:val="0"/>
          <w:sz w:val="24"/>
          <w:szCs w:val="24"/>
        </w:rPr>
        <w:t xml:space="preserve"> 3043/2010, uveřejněný pod č. 73/2013 Sbírky soudních rozhodnutí a stanovisek).</w:t>
      </w:r>
    </w:p>
    <w:p w:rsidR="007C1467" w:rsidRDefault="007C1467" w:rsidP="007C1467">
      <w:pPr>
        <w:widowControl w:val="0"/>
        <w:autoSpaceDE w:val="0"/>
        <w:autoSpaceDN w:val="0"/>
        <w:adjustRightInd w:val="0"/>
        <w:spacing w:before="120" w:after="0" w:line="240" w:lineRule="atLeast"/>
        <w:ind w:firstLine="708"/>
        <w:jc w:val="both"/>
        <w:rPr>
          <w:rFonts w:ascii="Tms Rmn" w:hAnsi="Tms Rmn" w:cs="Tms Rmn"/>
          <w:color w:val="000000"/>
          <w:kern w:val="0"/>
          <w:sz w:val="24"/>
          <w:szCs w:val="24"/>
        </w:rPr>
      </w:pPr>
      <w:r>
        <w:rPr>
          <w:rFonts w:ascii="Tms Rmn" w:hAnsi="Tms Rmn" w:cs="Tms Rmn"/>
          <w:color w:val="000000"/>
          <w:kern w:val="0"/>
          <w:sz w:val="24"/>
          <w:szCs w:val="24"/>
        </w:rPr>
        <w:t xml:space="preserve">Zástupce navrhovatele učinil v dovolacím řízení jeden úkon právní služby, a to vyjádření k dovolání, ve smyslu § 11 odst. 1 písm. k) AT, náleží mu tak celkem náklady ve výši 4 114 Kč, sestávající z odměny podle § 6 odst. 1, § 9 odst. 4 písm. c) AT ve výši 3 100 Kč (nejde o žalobu o určení neplatnosti právního jednání, ale o řízení o otázce týkající se jiné právnické osoby – k tomu srov. hlava II, díl 1, § 85 a násl. zákona č. 292/2013 Sb.), z paušální částky náhrad hotových výdajů ve výši 300 Kč, jež stojí vedle odměny (srov. § 2 odst. 1, § 13 odst. 1 a 3 AT), a náhrady za 21% daň z přidané hodnoty ve výši 714 Kč (§ 137 odst. 1, 3 o. s. ř.). Náhradu nákladů řízení je navrhovatel povinen zaplatit k rukám advokáta (§ 149 odst. 1 o. s. ř.), v zákonné </w:t>
      </w:r>
      <w:proofErr w:type="spellStart"/>
      <w:r>
        <w:rPr>
          <w:rFonts w:ascii="Tms Rmn" w:hAnsi="Tms Rmn" w:cs="Tms Rmn"/>
          <w:color w:val="000000"/>
          <w:kern w:val="0"/>
          <w:sz w:val="24"/>
          <w:szCs w:val="24"/>
        </w:rPr>
        <w:t>pariční</w:t>
      </w:r>
      <w:proofErr w:type="spellEnd"/>
      <w:r>
        <w:rPr>
          <w:rFonts w:ascii="Tms Rmn" w:hAnsi="Tms Rmn" w:cs="Tms Rmn"/>
          <w:color w:val="000000"/>
          <w:kern w:val="0"/>
          <w:sz w:val="24"/>
          <w:szCs w:val="24"/>
        </w:rPr>
        <w:t xml:space="preserve"> lhůtě (§ 160 odst. 1 o. s. ř.).</w:t>
      </w:r>
    </w:p>
    <w:p w:rsidR="007C1467" w:rsidRDefault="007C1467" w:rsidP="007C1467">
      <w:pPr>
        <w:widowControl w:val="0"/>
        <w:autoSpaceDE w:val="0"/>
        <w:autoSpaceDN w:val="0"/>
        <w:adjustRightInd w:val="0"/>
        <w:spacing w:before="120" w:after="0" w:line="240" w:lineRule="atLeast"/>
        <w:jc w:val="both"/>
        <w:rPr>
          <w:rFonts w:ascii="Tms Rmn" w:hAnsi="Tms Rmn" w:cs="Tms Rmn"/>
          <w:color w:val="000000"/>
          <w:kern w:val="0"/>
          <w:sz w:val="24"/>
          <w:szCs w:val="24"/>
        </w:rPr>
      </w:pPr>
      <w:r>
        <w:rPr>
          <w:rFonts w:ascii="Tms Rmn" w:hAnsi="Tms Rmn" w:cs="Tms Rmn"/>
          <w:color w:val="000000"/>
          <w:kern w:val="0"/>
          <w:sz w:val="24"/>
          <w:szCs w:val="24"/>
        </w:rPr>
        <w:t>Poučení: Proti tomuto rozhodnutí není přípustný opravný prostředek.</w:t>
      </w:r>
    </w:p>
    <w:p w:rsidR="007C1467" w:rsidRDefault="007C1467" w:rsidP="007C1467">
      <w:pPr>
        <w:widowControl w:val="0"/>
        <w:autoSpaceDE w:val="0"/>
        <w:autoSpaceDN w:val="0"/>
        <w:adjustRightInd w:val="0"/>
        <w:spacing w:before="120" w:after="0" w:line="240" w:lineRule="atLeast"/>
        <w:jc w:val="both"/>
        <w:rPr>
          <w:rFonts w:ascii="Tms Rmn" w:hAnsi="Tms Rmn" w:cs="Tms Rmn"/>
          <w:color w:val="000000"/>
          <w:kern w:val="0"/>
          <w:sz w:val="24"/>
          <w:szCs w:val="24"/>
        </w:rPr>
      </w:pPr>
      <w:r>
        <w:rPr>
          <w:rFonts w:ascii="Tms Rmn" w:hAnsi="Tms Rmn" w:cs="Tms Rmn"/>
          <w:color w:val="000000"/>
          <w:kern w:val="0"/>
          <w:sz w:val="24"/>
          <w:szCs w:val="24"/>
        </w:rPr>
        <w:t>Nesplní-li povinný dobrovolně, co mu ukládá vykonatelné rozhodnutí, může oprávněný podat návrh na exekuci (soudní výkon rozhodnutí).</w:t>
      </w:r>
    </w:p>
    <w:p w:rsidR="007C1467" w:rsidRDefault="007C1467" w:rsidP="007C1467">
      <w:pPr>
        <w:widowControl w:val="0"/>
        <w:autoSpaceDE w:val="0"/>
        <w:autoSpaceDN w:val="0"/>
        <w:adjustRightInd w:val="0"/>
        <w:spacing w:after="0" w:line="240" w:lineRule="atLeast"/>
        <w:jc w:val="both"/>
        <w:rPr>
          <w:rFonts w:ascii="Tms Rmn" w:hAnsi="Tms Rmn" w:cs="Tms Rmn"/>
          <w:color w:val="000000"/>
          <w:kern w:val="0"/>
          <w:sz w:val="24"/>
          <w:szCs w:val="24"/>
        </w:rPr>
      </w:pPr>
      <w:r>
        <w:rPr>
          <w:rFonts w:ascii="Tms Rmn" w:hAnsi="Tms Rmn" w:cs="Tms Rmn"/>
          <w:color w:val="000000"/>
          <w:kern w:val="0"/>
          <w:sz w:val="24"/>
          <w:szCs w:val="24"/>
        </w:rPr>
        <w:t xml:space="preserve"> </w:t>
      </w:r>
    </w:p>
    <w:p w:rsidR="007C1467" w:rsidRDefault="007C1467" w:rsidP="007C1467">
      <w:pPr>
        <w:widowControl w:val="0"/>
        <w:autoSpaceDE w:val="0"/>
        <w:autoSpaceDN w:val="0"/>
        <w:adjustRightInd w:val="0"/>
        <w:spacing w:after="0" w:line="240" w:lineRule="atLeast"/>
        <w:jc w:val="both"/>
        <w:rPr>
          <w:rFonts w:ascii="Tms Rmn" w:hAnsi="Tms Rmn" w:cs="Tms Rmn"/>
          <w:color w:val="000000"/>
          <w:kern w:val="0"/>
          <w:sz w:val="24"/>
          <w:szCs w:val="24"/>
        </w:rPr>
      </w:pPr>
    </w:p>
    <w:p w:rsidR="007C1467" w:rsidRDefault="007C1467" w:rsidP="007C1467">
      <w:pPr>
        <w:widowControl w:val="0"/>
        <w:autoSpaceDE w:val="0"/>
        <w:autoSpaceDN w:val="0"/>
        <w:adjustRightInd w:val="0"/>
        <w:spacing w:after="0" w:line="240" w:lineRule="atLeast"/>
        <w:jc w:val="both"/>
        <w:rPr>
          <w:rFonts w:ascii="Tms Rmn" w:hAnsi="Tms Rmn" w:cs="Tms Rmn"/>
          <w:color w:val="000000"/>
          <w:kern w:val="0"/>
          <w:sz w:val="24"/>
          <w:szCs w:val="24"/>
        </w:rPr>
      </w:pPr>
    </w:p>
    <w:p w:rsidR="007C1467" w:rsidRDefault="007C1467" w:rsidP="007C1467">
      <w:pPr>
        <w:widowControl w:val="0"/>
        <w:autoSpaceDE w:val="0"/>
        <w:autoSpaceDN w:val="0"/>
        <w:adjustRightInd w:val="0"/>
        <w:spacing w:after="0" w:line="240" w:lineRule="atLeast"/>
        <w:jc w:val="center"/>
        <w:rPr>
          <w:rFonts w:ascii="Tms Rmn" w:hAnsi="Tms Rmn" w:cs="Tms Rmn"/>
          <w:color w:val="000000"/>
          <w:kern w:val="0"/>
          <w:sz w:val="24"/>
          <w:szCs w:val="24"/>
        </w:rPr>
      </w:pPr>
      <w:r>
        <w:rPr>
          <w:rFonts w:ascii="Tms Rmn" w:hAnsi="Tms Rmn" w:cs="Tms Rmn"/>
          <w:color w:val="000000"/>
          <w:kern w:val="0"/>
          <w:sz w:val="24"/>
          <w:szCs w:val="24"/>
        </w:rPr>
        <w:t>V Brně dne 15. 3. 2023</w:t>
      </w:r>
    </w:p>
    <w:p w:rsidR="007C1467" w:rsidRDefault="007C1467" w:rsidP="007C1467">
      <w:pPr>
        <w:widowControl w:val="0"/>
        <w:autoSpaceDE w:val="0"/>
        <w:autoSpaceDN w:val="0"/>
        <w:adjustRightInd w:val="0"/>
        <w:spacing w:before="120" w:after="0" w:line="240" w:lineRule="atLeast"/>
        <w:jc w:val="both"/>
        <w:rPr>
          <w:rFonts w:ascii="Tms Rmn" w:hAnsi="Tms Rmn" w:cs="Tms Rmn"/>
          <w:color w:val="000000"/>
          <w:kern w:val="0"/>
          <w:sz w:val="24"/>
          <w:szCs w:val="24"/>
        </w:rPr>
      </w:pPr>
    </w:p>
    <w:p w:rsidR="007C1467" w:rsidRDefault="007C1467" w:rsidP="007C1467">
      <w:pPr>
        <w:widowControl w:val="0"/>
        <w:autoSpaceDE w:val="0"/>
        <w:autoSpaceDN w:val="0"/>
        <w:adjustRightInd w:val="0"/>
        <w:spacing w:before="120" w:after="0" w:line="240" w:lineRule="atLeast"/>
        <w:jc w:val="both"/>
        <w:rPr>
          <w:rFonts w:ascii="Tms Rmn" w:hAnsi="Tms Rmn" w:cs="Tms Rmn"/>
          <w:color w:val="000000"/>
          <w:kern w:val="0"/>
          <w:sz w:val="24"/>
          <w:szCs w:val="24"/>
        </w:rPr>
      </w:pPr>
    </w:p>
    <w:p w:rsidR="007C1467" w:rsidRDefault="007C1467" w:rsidP="007C1467">
      <w:pPr>
        <w:widowControl w:val="0"/>
        <w:tabs>
          <w:tab w:val="left" w:pos="7655"/>
        </w:tabs>
        <w:autoSpaceDE w:val="0"/>
        <w:autoSpaceDN w:val="0"/>
        <w:adjustRightInd w:val="0"/>
        <w:spacing w:after="0" w:line="240" w:lineRule="atLeast"/>
        <w:rPr>
          <w:rFonts w:ascii="Tms Rmn" w:hAnsi="Tms Rmn" w:cs="Tms Rmn"/>
          <w:color w:val="000000"/>
          <w:kern w:val="0"/>
          <w:sz w:val="24"/>
          <w:szCs w:val="24"/>
        </w:rPr>
      </w:pPr>
      <w:r>
        <w:rPr>
          <w:rFonts w:ascii="Tms Rmn" w:hAnsi="Tms Rmn" w:cs="Tms Rmn"/>
          <w:color w:val="000000"/>
          <w:kern w:val="0"/>
          <w:sz w:val="24"/>
          <w:szCs w:val="24"/>
        </w:rPr>
        <w:tab/>
        <w:t xml:space="preserve">JUDr. Jitka </w:t>
      </w:r>
      <w:proofErr w:type="spellStart"/>
      <w:r>
        <w:rPr>
          <w:rFonts w:ascii="Tms Rmn" w:hAnsi="Tms Rmn" w:cs="Tms Rmn"/>
          <w:color w:val="000000"/>
          <w:kern w:val="0"/>
          <w:sz w:val="24"/>
          <w:szCs w:val="24"/>
        </w:rPr>
        <w:t>Dýšková</w:t>
      </w:r>
      <w:proofErr w:type="spellEnd"/>
    </w:p>
    <w:p w:rsidR="007C1467" w:rsidRDefault="007C1467" w:rsidP="007C1467">
      <w:pPr>
        <w:widowControl w:val="0"/>
        <w:tabs>
          <w:tab w:val="left" w:pos="7655"/>
        </w:tabs>
        <w:autoSpaceDE w:val="0"/>
        <w:autoSpaceDN w:val="0"/>
        <w:adjustRightInd w:val="0"/>
        <w:spacing w:after="0" w:line="240" w:lineRule="atLeast"/>
        <w:rPr>
          <w:rFonts w:ascii="Tms Rmn" w:hAnsi="Tms Rmn" w:cs="Tms Rmn"/>
          <w:color w:val="000000"/>
          <w:kern w:val="0"/>
          <w:sz w:val="24"/>
          <w:szCs w:val="24"/>
        </w:rPr>
      </w:pPr>
      <w:r>
        <w:rPr>
          <w:rFonts w:ascii="Tms Rmn" w:hAnsi="Tms Rmn" w:cs="Tms Rmn"/>
          <w:color w:val="000000"/>
          <w:kern w:val="0"/>
          <w:sz w:val="24"/>
          <w:szCs w:val="24"/>
        </w:rPr>
        <w:tab/>
        <w:t>předsedkyně senátu</w:t>
      </w:r>
    </w:p>
    <w:p w:rsidR="007C1467" w:rsidRDefault="007C1467" w:rsidP="007C1467">
      <w:pPr>
        <w:widowControl w:val="0"/>
        <w:tabs>
          <w:tab w:val="left" w:pos="6237"/>
        </w:tabs>
        <w:autoSpaceDE w:val="0"/>
        <w:autoSpaceDN w:val="0"/>
        <w:adjustRightInd w:val="0"/>
        <w:spacing w:after="0" w:line="240" w:lineRule="atLeast"/>
        <w:rPr>
          <w:rFonts w:ascii="Tms Rmn" w:hAnsi="Tms Rmn" w:cs="Tms Rmn"/>
          <w:color w:val="000000"/>
          <w:kern w:val="0"/>
          <w:sz w:val="24"/>
          <w:szCs w:val="24"/>
        </w:rPr>
      </w:pPr>
    </w:p>
    <w:p w:rsidR="007C1467" w:rsidRDefault="007C1467" w:rsidP="007C1467">
      <w:pPr>
        <w:widowControl w:val="0"/>
        <w:tabs>
          <w:tab w:val="left" w:pos="6237"/>
        </w:tabs>
        <w:autoSpaceDE w:val="0"/>
        <w:autoSpaceDN w:val="0"/>
        <w:adjustRightInd w:val="0"/>
        <w:spacing w:after="0" w:line="240" w:lineRule="atLeast"/>
        <w:rPr>
          <w:rFonts w:ascii="Tms Rmn" w:hAnsi="Tms Rmn" w:cs="Tms Rmn"/>
          <w:color w:val="000000"/>
          <w:kern w:val="0"/>
          <w:sz w:val="24"/>
          <w:szCs w:val="24"/>
        </w:rPr>
      </w:pPr>
    </w:p>
    <w:p w:rsidR="007C1467" w:rsidRDefault="007C1467" w:rsidP="007C1467">
      <w:pPr>
        <w:widowControl w:val="0"/>
        <w:tabs>
          <w:tab w:val="left" w:pos="6237"/>
        </w:tabs>
        <w:autoSpaceDE w:val="0"/>
        <w:autoSpaceDN w:val="0"/>
        <w:adjustRightInd w:val="0"/>
        <w:spacing w:after="0" w:line="240" w:lineRule="atLeast"/>
        <w:rPr>
          <w:rFonts w:ascii="Tms Rmn" w:hAnsi="Tms Rmn" w:cs="Tms Rmn"/>
          <w:color w:val="000000"/>
          <w:kern w:val="0"/>
          <w:sz w:val="24"/>
          <w:szCs w:val="24"/>
        </w:rPr>
      </w:pPr>
    </w:p>
    <w:p w:rsidR="007C1467" w:rsidRDefault="007C1467" w:rsidP="007C1467">
      <w:pPr>
        <w:widowControl w:val="0"/>
        <w:tabs>
          <w:tab w:val="left" w:pos="6237"/>
        </w:tabs>
        <w:autoSpaceDE w:val="0"/>
        <w:autoSpaceDN w:val="0"/>
        <w:adjustRightInd w:val="0"/>
        <w:spacing w:after="0" w:line="240" w:lineRule="atLeast"/>
        <w:rPr>
          <w:rFonts w:ascii="Tms Rmn" w:hAnsi="Tms Rmn" w:cs="Tms Rmn"/>
          <w:color w:val="000000"/>
          <w:kern w:val="0"/>
          <w:sz w:val="24"/>
          <w:szCs w:val="24"/>
        </w:rPr>
      </w:pPr>
    </w:p>
    <w:p w:rsidR="007C1467" w:rsidRDefault="007C1467" w:rsidP="007C1467">
      <w:pPr>
        <w:widowControl w:val="0"/>
        <w:tabs>
          <w:tab w:val="left" w:pos="6237"/>
        </w:tabs>
        <w:autoSpaceDE w:val="0"/>
        <w:autoSpaceDN w:val="0"/>
        <w:adjustRightInd w:val="0"/>
        <w:spacing w:after="0" w:line="240" w:lineRule="atLeast"/>
        <w:rPr>
          <w:rFonts w:ascii="Tms Rmn" w:hAnsi="Tms Rmn" w:cs="Tms Rmn"/>
          <w:color w:val="000000"/>
          <w:kern w:val="0"/>
          <w:sz w:val="24"/>
          <w:szCs w:val="24"/>
        </w:rPr>
      </w:pPr>
    </w:p>
    <w:p w:rsidR="007C1467" w:rsidRDefault="007C1467" w:rsidP="007C1467">
      <w:pPr>
        <w:widowControl w:val="0"/>
        <w:tabs>
          <w:tab w:val="left" w:pos="6237"/>
        </w:tabs>
        <w:autoSpaceDE w:val="0"/>
        <w:autoSpaceDN w:val="0"/>
        <w:adjustRightInd w:val="0"/>
        <w:spacing w:after="0" w:line="240" w:lineRule="atLeast"/>
        <w:rPr>
          <w:rFonts w:ascii="Helv" w:hAnsi="Helv" w:cs="Helv"/>
          <w:color w:val="000000"/>
          <w:kern w:val="0"/>
          <w:sz w:val="20"/>
          <w:szCs w:val="20"/>
        </w:rPr>
      </w:pPr>
    </w:p>
    <w:p w:rsidR="007C1467" w:rsidRDefault="007C1467" w:rsidP="007C1467">
      <w:pPr>
        <w:widowControl w:val="0"/>
        <w:tabs>
          <w:tab w:val="left" w:pos="6237"/>
        </w:tabs>
        <w:autoSpaceDE w:val="0"/>
        <w:autoSpaceDN w:val="0"/>
        <w:adjustRightInd w:val="0"/>
        <w:spacing w:after="0" w:line="240" w:lineRule="atLeast"/>
        <w:rPr>
          <w:rFonts w:ascii="Helv" w:hAnsi="Helv" w:cs="Helv"/>
          <w:color w:val="000000"/>
          <w:kern w:val="0"/>
          <w:sz w:val="20"/>
          <w:szCs w:val="20"/>
        </w:rPr>
      </w:pPr>
    </w:p>
    <w:p w:rsidR="007C1467" w:rsidRDefault="007C1467" w:rsidP="007C1467">
      <w:pPr>
        <w:widowControl w:val="0"/>
        <w:tabs>
          <w:tab w:val="left" w:pos="6237"/>
        </w:tabs>
        <w:autoSpaceDE w:val="0"/>
        <w:autoSpaceDN w:val="0"/>
        <w:adjustRightInd w:val="0"/>
        <w:spacing w:after="0" w:line="240" w:lineRule="atLeast"/>
        <w:rPr>
          <w:rFonts w:ascii="Helv" w:hAnsi="Helv" w:cs="Helv"/>
          <w:color w:val="000000"/>
          <w:kern w:val="0"/>
          <w:sz w:val="20"/>
          <w:szCs w:val="20"/>
        </w:rPr>
      </w:pPr>
    </w:p>
    <w:p w:rsidR="007C1467" w:rsidRDefault="007C1467" w:rsidP="007C1467">
      <w:pPr>
        <w:widowControl w:val="0"/>
        <w:autoSpaceDE w:val="0"/>
        <w:autoSpaceDN w:val="0"/>
        <w:adjustRightInd w:val="0"/>
        <w:spacing w:after="0" w:line="240" w:lineRule="atLeast"/>
        <w:rPr>
          <w:rFonts w:ascii="Helv" w:hAnsi="Helv" w:cs="Helv"/>
          <w:color w:val="000000"/>
          <w:kern w:val="0"/>
          <w:sz w:val="20"/>
          <w:szCs w:val="20"/>
        </w:rPr>
      </w:pPr>
    </w:p>
    <w:p w:rsidR="007A0160" w:rsidRDefault="007A0160"/>
    <w:sectPr w:rsidR="007A0160" w:rsidSect="007C1467">
      <w:pgSz w:w="12240" w:h="15840"/>
      <w:pgMar w:top="1440" w:right="1440" w:bottom="1440" w:left="144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467"/>
    <w:rsid w:val="00511F93"/>
    <w:rsid w:val="007A0160"/>
    <w:rsid w:val="007C14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339AA1-ABED-405F-8768-FB2406E9D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C1467"/>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3405</Words>
  <Characters>20091</Characters>
  <Application>Microsoft Office Word</Application>
  <DocSecurity>0</DocSecurity>
  <Lines>167</Lines>
  <Paragraphs>46</Paragraphs>
  <ScaleCrop>false</ScaleCrop>
  <Company/>
  <LinksUpToDate>false</LinksUpToDate>
  <CharactersWithSpaces>23450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Realitní advokáti</dc:creator>
  <cp:keywords/>
  <dc:description/>
  <cp:lastModifiedBy>Realitní advokáti</cp:lastModifiedBy>
  <cp:revision>1</cp:revision>
  <dcterms:created xsi:type="dcterms:W3CDTF">2024-10-23T11:32:00Z</dcterms:created>
  <dcterms:modified xsi:type="dcterms:W3CDTF">2024-10-23T11:32:00Z</dcterms:modified>
</cp:coreProperties>
</file>